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w:t>
      </w:r>
      <w:r>
        <w:rPr>
          <w:rFonts w:hint="eastAsia" w:ascii="方正小标宋简体" w:hAnsi="方正小标宋简体" w:eastAsia="方正小标宋简体" w:cs="方正小标宋简体"/>
          <w:sz w:val="44"/>
          <w:szCs w:val="44"/>
          <w:lang w:val="zh-TW" w:eastAsia="zh-TW"/>
        </w:rPr>
        <w:t>年北京市丰台区</w:t>
      </w:r>
    </w:p>
    <w:p>
      <w:pPr>
        <w:pStyle w:val="12"/>
        <w:spacing w:line="560" w:lineRule="exact"/>
        <w:jc w:val="center"/>
        <w:rPr>
          <w:rFonts w:ascii="方正小标宋简体" w:hAnsi="仿宋_GB2312" w:eastAsia="方正小标宋简体" w:cs="仿宋_GB2312"/>
          <w:sz w:val="44"/>
          <w:szCs w:val="44"/>
          <w:lang w:val="zh-TW" w:eastAsia="zh-TW"/>
        </w:rPr>
      </w:pPr>
      <w:r>
        <w:rPr>
          <w:rFonts w:hint="eastAsia" w:ascii="方正小标宋简体" w:hAnsi="方正小标宋简体" w:eastAsia="方正小标宋简体" w:cs="方正小标宋简体"/>
          <w:sz w:val="44"/>
          <w:szCs w:val="44"/>
          <w:lang w:val="zh-TW" w:eastAsia="zh-TW"/>
        </w:rPr>
        <w:t>政府信息公开工作年度报告</w:t>
      </w:r>
    </w:p>
    <w:p>
      <w:pPr>
        <w:pStyle w:val="12"/>
        <w:spacing w:line="560" w:lineRule="exact"/>
        <w:ind w:firstLine="645"/>
        <w:rPr>
          <w:rFonts w:ascii="方正小标宋简体" w:hAnsi="仿宋_GB2312" w:eastAsia="方正小标宋简体" w:cs="仿宋_GB2312"/>
          <w:sz w:val="32"/>
          <w:szCs w:val="32"/>
          <w:lang w:val="zh-TW" w:eastAsia="zh-TW"/>
        </w:rPr>
      </w:pP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zh-TW" w:eastAsia="zh-TW"/>
        </w:rPr>
        <w:t>依据《中华人民共和国政府信息公开条例》第五十条之规定，</w:t>
      </w:r>
      <w:r>
        <w:rPr>
          <w:rFonts w:hint="eastAsia" w:ascii="仿宋_GB2312" w:eastAsia="仿宋_GB2312" w:cs="仿宋_GB2312" w:hAnsiTheme="minorEastAsia"/>
          <w:sz w:val="32"/>
          <w:szCs w:val="32"/>
          <w:lang w:val="zh-TW"/>
        </w:rPr>
        <w:t>制作本报告。</w:t>
      </w:r>
    </w:p>
    <w:p>
      <w:pPr>
        <w:pStyle w:val="12"/>
        <w:numPr>
          <w:ilvl w:val="0"/>
          <w:numId w:val="1"/>
        </w:numPr>
        <w:spacing w:line="560" w:lineRule="exact"/>
        <w:rPr>
          <w:rFonts w:ascii="黑体" w:hAnsi="黑体" w:eastAsia="PMingLiU" w:cs="黑体"/>
          <w:sz w:val="32"/>
          <w:szCs w:val="32"/>
          <w:lang w:val="zh-TW" w:eastAsia="zh-TW"/>
        </w:rPr>
      </w:pPr>
      <w:r>
        <w:rPr>
          <w:rFonts w:ascii="黑体" w:hAnsi="黑体" w:eastAsia="黑体" w:cs="黑体"/>
          <w:sz w:val="32"/>
          <w:szCs w:val="32"/>
          <w:lang w:val="zh-TW" w:eastAsia="zh-TW"/>
        </w:rPr>
        <w:t>总体情况</w:t>
      </w:r>
    </w:p>
    <w:p>
      <w:pPr>
        <w:pStyle w:val="12"/>
        <w:spacing w:line="560" w:lineRule="exact"/>
        <w:ind w:firstLine="640" w:firstLineChars="200"/>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2019年，丰台区政府认真贯彻落实《中华人民共和国政府信息公开条例》、《北京市2019年政务公开工作要点》和</w:t>
      </w:r>
      <w:r>
        <w:rPr>
          <w:rFonts w:ascii="仿宋_GB2312" w:hAnsi="仿宋_GB2312" w:eastAsia="仿宋_GB2312" w:cs="仿宋_GB2312"/>
          <w:sz w:val="32"/>
          <w:szCs w:val="32"/>
          <w:lang w:val="zh-TW" w:eastAsia="zh-TW"/>
        </w:rPr>
        <w:t>市</w:t>
      </w:r>
      <w:r>
        <w:rPr>
          <w:rFonts w:hint="eastAsia"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eastAsia="zh-TW"/>
        </w:rPr>
        <w:t>区有关</w:t>
      </w:r>
      <w:r>
        <w:rPr>
          <w:rFonts w:hint="eastAsia" w:ascii="仿宋_GB2312" w:hAnsi="仿宋_GB2312" w:eastAsia="仿宋_GB2312" w:cs="仿宋_GB2312"/>
          <w:sz w:val="32"/>
          <w:szCs w:val="32"/>
          <w:lang w:val="zh-TW" w:eastAsia="zh-TW"/>
        </w:rPr>
        <w:t>信息</w:t>
      </w:r>
      <w:r>
        <w:rPr>
          <w:rFonts w:ascii="仿宋_GB2312" w:hAnsi="仿宋_GB2312" w:eastAsia="仿宋_GB2312" w:cs="仿宋_GB2312"/>
          <w:sz w:val="32"/>
          <w:szCs w:val="32"/>
          <w:lang w:val="zh-TW" w:eastAsia="zh-TW"/>
        </w:rPr>
        <w:t>公开</w:t>
      </w:r>
      <w:r>
        <w:rPr>
          <w:rFonts w:hint="eastAsia" w:ascii="仿宋_GB2312" w:hAnsi="仿宋_GB2312" w:eastAsia="仿宋_GB2312" w:cs="仿宋_GB2312"/>
          <w:sz w:val="32"/>
          <w:szCs w:val="32"/>
          <w:lang w:val="zh-TW" w:eastAsia="zh-TW"/>
        </w:rPr>
        <w:t>工作要求，以习近平新时代中国特色社会主义思想为指导，持续加强政策解读回应，健全政务公开机制，丰富公开内容，以公开稳预期、强监督、促落实、优服务，全力推动政府信息公开工作扎实有序开展</w:t>
      </w:r>
      <w:r>
        <w:rPr>
          <w:rFonts w:ascii="仿宋_GB2312" w:hAnsi="仿宋_GB2312" w:eastAsia="仿宋_GB2312" w:cs="仿宋_GB2312"/>
          <w:sz w:val="32"/>
          <w:szCs w:val="32"/>
          <w:lang w:val="zh-TW" w:eastAsia="zh-TW"/>
        </w:rPr>
        <w:t>。</w:t>
      </w:r>
    </w:p>
    <w:p>
      <w:pPr>
        <w:pStyle w:val="12"/>
        <w:numPr>
          <w:ilvl w:val="0"/>
          <w:numId w:val="2"/>
        </w:numPr>
        <w:spacing w:line="560" w:lineRule="exact"/>
        <w:rPr>
          <w:rFonts w:ascii="楷体_GB2312" w:hAnsi="楷体_GB2312" w:eastAsia="PMingLiU" w:cs="楷体_GB2312"/>
          <w:sz w:val="32"/>
          <w:szCs w:val="32"/>
          <w:lang w:val="zh-TW" w:eastAsia="zh-TW"/>
        </w:rPr>
      </w:pPr>
      <w:r>
        <w:rPr>
          <w:rFonts w:ascii="楷体_GB2312" w:hAnsi="楷体_GB2312" w:eastAsia="楷体_GB2312" w:cs="楷体_GB2312"/>
          <w:sz w:val="32"/>
          <w:szCs w:val="32"/>
          <w:lang w:val="zh-TW" w:eastAsia="zh-TW"/>
        </w:rPr>
        <w:t>主动公开情况</w:t>
      </w:r>
    </w:p>
    <w:p>
      <w:pPr>
        <w:pStyle w:val="12"/>
        <w:spacing w:line="560" w:lineRule="exact"/>
        <w:ind w:firstLine="640" w:firstLineChars="200"/>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一是巩固</w:t>
      </w:r>
      <w:r>
        <w:rPr>
          <w:rFonts w:ascii="仿宋_GB2312" w:hAnsi="仿宋_GB2312" w:eastAsia="仿宋_GB2312" w:cs="仿宋_GB2312"/>
          <w:sz w:val="32"/>
          <w:szCs w:val="32"/>
          <w:lang w:val="zh-TW" w:eastAsia="zh-TW"/>
        </w:rPr>
        <w:t>公开</w:t>
      </w:r>
      <w:r>
        <w:rPr>
          <w:rFonts w:hint="eastAsia" w:ascii="仿宋_GB2312" w:hAnsi="仿宋_GB2312" w:eastAsia="仿宋_GB2312" w:cs="仿宋_GB2312"/>
          <w:sz w:val="32"/>
          <w:szCs w:val="32"/>
          <w:lang w:val="zh-TW" w:eastAsia="zh-TW"/>
        </w:rPr>
        <w:t>主渠道优势</w:t>
      </w:r>
      <w:r>
        <w:rPr>
          <w:rFonts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eastAsia="zh-TW"/>
        </w:rPr>
        <w:t>依托丰台区政府门户网站、政务微博等平台全面及时发布信息。2</w:t>
      </w:r>
      <w:r>
        <w:rPr>
          <w:rFonts w:ascii="仿宋_GB2312" w:hAnsi="仿宋_GB2312" w:eastAsia="仿宋_GB2312" w:cs="仿宋_GB2312"/>
          <w:sz w:val="32"/>
          <w:szCs w:val="32"/>
          <w:lang w:val="zh-TW" w:eastAsia="zh-TW"/>
        </w:rPr>
        <w:t>019</w:t>
      </w:r>
      <w:r>
        <w:rPr>
          <w:rFonts w:hint="eastAsia" w:ascii="仿宋_GB2312" w:hAnsi="仿宋_GB2312" w:eastAsia="仿宋_GB2312" w:cs="仿宋_GB2312"/>
          <w:sz w:val="32"/>
          <w:szCs w:val="32"/>
          <w:lang w:val="zh-TW" w:eastAsia="zh-TW"/>
        </w:rPr>
        <w:t>年通过主渠道发布各类</w:t>
      </w:r>
      <w:r>
        <w:rPr>
          <w:rFonts w:ascii="仿宋_GB2312" w:hAnsi="仿宋_GB2312" w:eastAsia="仿宋_GB2312" w:cs="仿宋_GB2312"/>
          <w:sz w:val="32"/>
          <w:szCs w:val="32"/>
          <w:lang w:val="zh-TW" w:eastAsia="zh-TW"/>
        </w:rPr>
        <w:t>政府信息36,789条</w:t>
      </w:r>
      <w:r>
        <w:rPr>
          <w:rFonts w:hint="eastAsia" w:ascii="仿宋_GB2312" w:hAnsi="仿宋_GB2312" w:eastAsia="仿宋_GB2312" w:cs="仿宋_GB2312"/>
          <w:sz w:val="32"/>
          <w:szCs w:val="32"/>
          <w:lang w:val="zh-TW" w:eastAsia="zh-TW"/>
        </w:rPr>
        <w:t>，极大的方便了</w:t>
      </w:r>
      <w:r>
        <w:rPr>
          <w:rFonts w:ascii="仿宋_GB2312" w:hAnsi="仿宋_GB2312" w:eastAsia="仿宋_GB2312" w:cs="仿宋_GB2312"/>
          <w:sz w:val="32"/>
          <w:szCs w:val="32"/>
          <w:lang w:val="zh-TW" w:eastAsia="zh-TW"/>
        </w:rPr>
        <w:t>群众查阅和监督。</w:t>
      </w:r>
    </w:p>
    <w:p>
      <w:pPr>
        <w:spacing w:line="560" w:lineRule="exact"/>
        <w:ind w:firstLine="640" w:firstLineChars="200"/>
        <w:jc w:val="both"/>
        <w:rPr>
          <w:rFonts w:hint="default" w:ascii="仿宋_GB2312" w:hAnsi="仿宋_GB2312" w:eastAsia="仿宋_GB2312" w:cs="仿宋_GB2312"/>
          <w:kern w:val="2"/>
          <w:sz w:val="32"/>
          <w:szCs w:val="32"/>
          <w:lang w:val="zh-TW" w:eastAsia="zh-TW"/>
        </w:rPr>
      </w:pPr>
      <w:r>
        <w:rPr>
          <w:rFonts w:ascii="仿宋_GB2312" w:hAnsi="仿宋_GB2312" w:eastAsia="仿宋_GB2312" w:cs="仿宋_GB2312"/>
          <w:kern w:val="2"/>
          <w:sz w:val="32"/>
          <w:szCs w:val="32"/>
          <w:lang w:val="zh-TW" w:eastAsia="zh-TW"/>
        </w:rPr>
        <w:t>二是规范</w:t>
      </w:r>
      <w:r>
        <w:rPr>
          <w:rFonts w:hint="default" w:ascii="仿宋_GB2312" w:hAnsi="仿宋_GB2312" w:eastAsia="仿宋_GB2312" w:cs="仿宋_GB2312"/>
          <w:kern w:val="2"/>
          <w:sz w:val="32"/>
          <w:szCs w:val="32"/>
          <w:lang w:val="zh-TW" w:eastAsia="zh-TW"/>
        </w:rPr>
        <w:t>公开内容</w:t>
      </w:r>
      <w:r>
        <w:rPr>
          <w:rFonts w:ascii="仿宋_GB2312" w:hAnsi="仿宋_GB2312" w:eastAsia="仿宋_GB2312" w:cs="仿宋_GB2312"/>
          <w:kern w:val="2"/>
          <w:sz w:val="32"/>
          <w:szCs w:val="32"/>
          <w:lang w:val="zh-TW" w:eastAsia="zh-TW"/>
        </w:rPr>
        <w:t>和标准。印发《丰台区2019年政务公开工作要点》，围绕城乡规划、重大建设项目、财政预决算、优化营商环境、减税降费等政务信息，落实责任主体。依据权责清单和公共服务事项，全面梳理政务公开的内容，规范发布标准</w:t>
      </w:r>
      <w:r>
        <w:rPr>
          <w:rFonts w:hint="default" w:ascii="仿宋_GB2312" w:hAnsi="仿宋_GB2312" w:eastAsia="仿宋_GB2312" w:cs="仿宋_GB2312"/>
          <w:kern w:val="2"/>
          <w:sz w:val="32"/>
          <w:szCs w:val="32"/>
          <w:lang w:val="zh-TW" w:eastAsia="zh-TW"/>
        </w:rPr>
        <w:t>和</w:t>
      </w:r>
      <w:r>
        <w:rPr>
          <w:rFonts w:ascii="仿宋_GB2312" w:hAnsi="仿宋_GB2312" w:eastAsia="仿宋_GB2312" w:cs="仿宋_GB2312"/>
          <w:kern w:val="2"/>
          <w:sz w:val="32"/>
          <w:szCs w:val="32"/>
          <w:lang w:val="zh-TW" w:eastAsia="zh-TW"/>
        </w:rPr>
        <w:t>要求，编制形成主动公开区、街乡（镇）两级清单，给</w:t>
      </w:r>
      <w:r>
        <w:rPr>
          <w:rFonts w:hint="default" w:ascii="仿宋_GB2312" w:hAnsi="仿宋_GB2312" w:eastAsia="仿宋_GB2312" w:cs="仿宋_GB2312"/>
          <w:kern w:val="2"/>
          <w:sz w:val="32"/>
          <w:szCs w:val="32"/>
          <w:lang w:val="zh-TW" w:eastAsia="zh-TW"/>
        </w:rPr>
        <w:t>群众便捷办事提供</w:t>
      </w:r>
      <w:r>
        <w:rPr>
          <w:rFonts w:ascii="仿宋_GB2312" w:hAnsi="仿宋_GB2312" w:eastAsia="仿宋_GB2312" w:cs="仿宋_GB2312"/>
          <w:kern w:val="2"/>
          <w:sz w:val="32"/>
          <w:szCs w:val="32"/>
          <w:lang w:val="zh-TW" w:eastAsia="zh-TW"/>
        </w:rPr>
        <w:t>有力“抓手”。</w:t>
      </w:r>
    </w:p>
    <w:p>
      <w:pPr>
        <w:pStyle w:val="12"/>
        <w:spacing w:line="560" w:lineRule="exact"/>
        <w:ind w:firstLine="640"/>
        <w:rPr>
          <w:rFonts w:ascii="楷体_GB2312" w:hAnsi="楷体_GB2312" w:eastAsia="楷体_GB2312" w:cs="楷体_GB2312"/>
          <w:sz w:val="32"/>
          <w:szCs w:val="32"/>
          <w:lang w:val="zh-TW" w:eastAsia="zh-TW"/>
        </w:rPr>
      </w:pPr>
      <w:r>
        <w:rPr>
          <w:rFonts w:ascii="楷体_GB2312" w:hAnsi="楷体_GB2312" w:eastAsia="楷体_GB2312" w:cs="楷体_GB2312"/>
          <w:sz w:val="32"/>
          <w:szCs w:val="32"/>
          <w:lang w:val="zh-TW" w:eastAsia="zh-TW"/>
        </w:rPr>
        <w:t>（二）依申请公开办理情况</w:t>
      </w:r>
    </w:p>
    <w:p>
      <w:pPr>
        <w:spacing w:line="560" w:lineRule="exact"/>
        <w:ind w:firstLine="640" w:firstLineChars="200"/>
        <w:jc w:val="both"/>
        <w:rPr>
          <w:rFonts w:hint="default" w:ascii="仿宋_GB2312" w:hAnsi="仿宋_GB2312" w:eastAsia="仿宋_GB2312" w:cs="仿宋_GB2312"/>
          <w:kern w:val="2"/>
          <w:sz w:val="32"/>
          <w:szCs w:val="32"/>
          <w:lang w:val="zh-TW" w:eastAsia="zh-TW"/>
        </w:rPr>
      </w:pPr>
      <w:r>
        <w:rPr>
          <w:rFonts w:ascii="仿宋_GB2312" w:hAnsi="仿宋_GB2312" w:eastAsia="仿宋_GB2312" w:cs="仿宋_GB2312"/>
          <w:kern w:val="2"/>
          <w:sz w:val="32"/>
          <w:szCs w:val="32"/>
          <w:lang w:val="zh-TW" w:eastAsia="zh-TW"/>
        </w:rPr>
        <w:t>丰台区政府坚持把依申请公开作为检验依法行政工作的重要方式，严格履行《政府信息公开条例》法定义务，筑牢依申请公开工作基础，规范办理程序，强化与申请人沟通，依法依规答复。2019年，</w:t>
      </w:r>
      <w:r>
        <w:rPr>
          <w:rFonts w:hint="default" w:ascii="仿宋_GB2312" w:hAnsi="仿宋_GB2312" w:eastAsia="仿宋_GB2312" w:cs="仿宋_GB2312"/>
          <w:kern w:val="2"/>
          <w:sz w:val="32"/>
          <w:szCs w:val="32"/>
          <w:lang w:val="zh-TW" w:eastAsia="zh-TW"/>
        </w:rPr>
        <w:t>全区</w:t>
      </w:r>
      <w:r>
        <w:rPr>
          <w:rFonts w:ascii="仿宋_GB2312" w:hAnsi="仿宋_GB2312" w:eastAsia="仿宋_GB2312" w:cs="仿宋_GB2312"/>
          <w:kern w:val="2"/>
          <w:sz w:val="32"/>
          <w:szCs w:val="32"/>
          <w:lang w:val="zh-TW" w:eastAsia="zh-TW"/>
        </w:rPr>
        <w:t>共收到政府信息公开申请2,054件，办结2,019件，自上年度结转101件，结转下一年度办理136件。从办理结果看：予以公开589件；部分公开135件；不予公开76件；无法提供843件；不予处理31件；其他处理345件。</w:t>
      </w:r>
    </w:p>
    <w:p>
      <w:pPr>
        <w:pStyle w:val="12"/>
        <w:spacing w:line="560" w:lineRule="exact"/>
        <w:ind w:left="640"/>
        <w:rPr>
          <w:rFonts w:ascii="楷体_GB2312" w:hAnsi="楷体_GB2312" w:eastAsia="PMingLiU" w:cs="楷体_GB2312"/>
          <w:sz w:val="32"/>
          <w:szCs w:val="32"/>
          <w:lang w:val="zh-TW" w:eastAsia="zh-TW"/>
        </w:rPr>
      </w:pPr>
      <w:r>
        <w:rPr>
          <w:rFonts w:hint="eastAsia" w:ascii="楷体_GB2312" w:hAnsi="楷体_GB2312" w:eastAsia="楷体_GB2312" w:cs="楷体_GB2312"/>
          <w:sz w:val="32"/>
          <w:szCs w:val="32"/>
          <w:lang w:val="zh-TW"/>
        </w:rPr>
        <w:t>（三）</w:t>
      </w:r>
      <w:r>
        <w:rPr>
          <w:rFonts w:ascii="楷体_GB2312" w:hAnsi="楷体_GB2312" w:eastAsia="楷体_GB2312" w:cs="楷体_GB2312"/>
          <w:sz w:val="32"/>
          <w:szCs w:val="32"/>
          <w:lang w:val="zh-TW" w:eastAsia="zh-TW"/>
        </w:rPr>
        <w:t>政府信息资源的规范化、标准化管理情况</w:t>
      </w:r>
    </w:p>
    <w:p>
      <w:pPr>
        <w:spacing w:line="560" w:lineRule="exact"/>
        <w:ind w:firstLine="640" w:firstLineChars="200"/>
        <w:jc w:val="both"/>
        <w:rPr>
          <w:rFonts w:hint="default" w:ascii="仿宋_GB2312" w:hAnsi="仿宋_GB2312" w:eastAsia="仿宋_GB2312" w:cs="仿宋_GB2312"/>
          <w:kern w:val="2"/>
          <w:sz w:val="32"/>
          <w:szCs w:val="32"/>
          <w:lang w:val="zh-TW" w:eastAsia="zh-TW"/>
        </w:rPr>
      </w:pPr>
      <w:r>
        <w:rPr>
          <w:rFonts w:ascii="仿宋_GB2312" w:hAnsi="仿宋_GB2312" w:eastAsia="仿宋_GB2312" w:cs="仿宋_GB2312"/>
          <w:kern w:val="2"/>
          <w:sz w:val="32"/>
          <w:szCs w:val="32"/>
          <w:lang w:val="zh-TW" w:eastAsia="zh-TW"/>
        </w:rPr>
        <w:t>为提高政府信息公开的时效性</w:t>
      </w:r>
      <w:r>
        <w:rPr>
          <w:rFonts w:hint="default" w:ascii="仿宋_GB2312" w:hAnsi="仿宋_GB2312" w:eastAsia="仿宋_GB2312" w:cs="仿宋_GB2312"/>
          <w:kern w:val="2"/>
          <w:sz w:val="32"/>
          <w:szCs w:val="32"/>
          <w:lang w:val="zh-TW" w:eastAsia="zh-TW"/>
        </w:rPr>
        <w:t>、精准性，丰台区政府</w:t>
      </w:r>
      <w:r>
        <w:rPr>
          <w:rFonts w:ascii="仿宋_GB2312" w:hAnsi="仿宋_GB2312" w:eastAsia="仿宋_GB2312" w:cs="仿宋_GB2312"/>
          <w:kern w:val="2"/>
          <w:sz w:val="32"/>
          <w:szCs w:val="32"/>
          <w:lang w:val="zh-TW" w:eastAsia="zh-TW"/>
        </w:rPr>
        <w:t>严格落实信息发布审核制度，通过优化政府信息公开采编、审核、上报流程，细化政府信息公开各岗位职责，加大部门联办联审工作力度，使政府信息公开工作分工协作机制更加完备。结合机构改革</w:t>
      </w:r>
      <w:r>
        <w:rPr>
          <w:rFonts w:hint="default" w:ascii="仿宋_GB2312" w:hAnsi="仿宋_GB2312" w:eastAsia="仿宋_GB2312" w:cs="仿宋_GB2312"/>
          <w:kern w:val="2"/>
          <w:sz w:val="32"/>
          <w:szCs w:val="32"/>
          <w:lang w:val="zh-TW" w:eastAsia="zh-TW"/>
        </w:rPr>
        <w:t>，及时调整政府信息公开指南，公开政府信息工作机构、联系方式，不断拓宽申请渠道，为群众申请信息公开提供便利。</w:t>
      </w:r>
    </w:p>
    <w:p>
      <w:pPr>
        <w:pStyle w:val="12"/>
        <w:spacing w:line="560" w:lineRule="exact"/>
        <w:ind w:firstLine="640"/>
        <w:rPr>
          <w:rFonts w:ascii="楷体_GB2312" w:hAnsi="楷体_GB2312" w:eastAsia="PMingLiU" w:cs="楷体_GB2312"/>
          <w:sz w:val="32"/>
          <w:szCs w:val="32"/>
          <w:lang w:val="zh-TW" w:eastAsia="zh-TW"/>
        </w:rPr>
      </w:pPr>
      <w:r>
        <w:rPr>
          <w:rFonts w:ascii="楷体_GB2312" w:hAnsi="楷体_GB2312" w:eastAsia="楷体_GB2312" w:cs="楷体_GB2312"/>
          <w:sz w:val="32"/>
          <w:szCs w:val="32"/>
          <w:lang w:val="zh-TW" w:eastAsia="zh-TW"/>
        </w:rPr>
        <w:t>（四）政府信息公开平台建设情况</w:t>
      </w:r>
    </w:p>
    <w:p>
      <w:pPr>
        <w:pStyle w:val="4"/>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lang w:val="zh-TW" w:eastAsia="zh-TW"/>
        </w:rPr>
      </w:pPr>
      <w:r>
        <w:rPr>
          <w:rFonts w:hint="eastAsia" w:ascii="仿宋_GB2312" w:hAnsi="仿宋_GB2312" w:eastAsia="仿宋_GB2312" w:cs="仿宋_GB2312"/>
          <w:color w:val="000000"/>
          <w:kern w:val="2"/>
          <w:sz w:val="32"/>
          <w:szCs w:val="32"/>
          <w:lang w:val="zh-TW" w:eastAsia="zh-TW"/>
        </w:rPr>
        <w:t>一是加强政府网站建设和管理。丰台区政府在完成门户网站集约化建设的基础上，进一步规范重点</w:t>
      </w:r>
      <w:r>
        <w:rPr>
          <w:rFonts w:ascii="仿宋_GB2312" w:hAnsi="仿宋_GB2312" w:eastAsia="仿宋_GB2312" w:cs="仿宋_GB2312"/>
          <w:color w:val="000000"/>
          <w:kern w:val="2"/>
          <w:sz w:val="32"/>
          <w:szCs w:val="32"/>
          <w:lang w:val="zh-TW" w:eastAsia="zh-TW"/>
        </w:rPr>
        <w:t>专栏</w:t>
      </w:r>
      <w:r>
        <w:rPr>
          <w:rFonts w:hint="eastAsia" w:ascii="仿宋_GB2312" w:hAnsi="仿宋_GB2312" w:eastAsia="仿宋_GB2312" w:cs="仿宋_GB2312"/>
          <w:color w:val="000000"/>
          <w:kern w:val="2"/>
          <w:sz w:val="32"/>
          <w:szCs w:val="32"/>
          <w:lang w:val="zh-TW" w:eastAsia="zh-TW"/>
        </w:rPr>
        <w:t>设置</w:t>
      </w:r>
      <w:r>
        <w:rPr>
          <w:rFonts w:ascii="仿宋_GB2312" w:hAnsi="仿宋_GB2312" w:eastAsia="仿宋_GB2312" w:cs="仿宋_GB2312"/>
          <w:color w:val="000000"/>
          <w:kern w:val="2"/>
          <w:sz w:val="32"/>
          <w:szCs w:val="32"/>
          <w:lang w:val="zh-TW" w:eastAsia="zh-TW"/>
        </w:rPr>
        <w:t>，增加</w:t>
      </w:r>
      <w:r>
        <w:rPr>
          <w:rFonts w:hint="eastAsia" w:ascii="仿宋_GB2312" w:hAnsi="仿宋_GB2312" w:eastAsia="仿宋_GB2312" w:cs="仿宋_GB2312"/>
          <w:color w:val="000000"/>
          <w:kern w:val="2"/>
          <w:sz w:val="32"/>
          <w:szCs w:val="32"/>
          <w:lang w:val="zh-TW" w:eastAsia="zh-TW"/>
        </w:rPr>
        <w:t>一号登录</w:t>
      </w:r>
      <w:r>
        <w:rPr>
          <w:rFonts w:ascii="仿宋_GB2312" w:hAnsi="仿宋_GB2312" w:eastAsia="仿宋_GB2312" w:cs="仿宋_GB2312"/>
          <w:color w:val="000000"/>
          <w:kern w:val="2"/>
          <w:sz w:val="32"/>
          <w:szCs w:val="32"/>
          <w:lang w:val="zh-TW" w:eastAsia="zh-TW"/>
        </w:rPr>
        <w:t>、智能问答等功能，</w:t>
      </w:r>
      <w:r>
        <w:rPr>
          <w:rFonts w:hint="eastAsia" w:ascii="仿宋_GB2312" w:hAnsi="仿宋_GB2312" w:eastAsia="仿宋_GB2312" w:cs="仿宋_GB2312"/>
          <w:color w:val="000000"/>
          <w:kern w:val="2"/>
          <w:sz w:val="32"/>
          <w:szCs w:val="32"/>
          <w:lang w:val="zh-TW" w:eastAsia="zh-TW"/>
        </w:rPr>
        <w:t>加快</w:t>
      </w:r>
      <w:r>
        <w:rPr>
          <w:rFonts w:ascii="仿宋_GB2312" w:hAnsi="仿宋_GB2312" w:eastAsia="仿宋_GB2312" w:cs="仿宋_GB2312"/>
          <w:color w:val="000000"/>
          <w:kern w:val="2"/>
          <w:sz w:val="32"/>
          <w:szCs w:val="32"/>
          <w:lang w:val="zh-TW" w:eastAsia="zh-TW"/>
        </w:rPr>
        <w:t>推进市区数据信息资源库对接</w:t>
      </w:r>
      <w:r>
        <w:rPr>
          <w:rFonts w:hint="eastAsia" w:ascii="仿宋_GB2312" w:hAnsi="仿宋_GB2312" w:eastAsia="仿宋_GB2312" w:cs="仿宋_GB2312"/>
          <w:color w:val="000000"/>
          <w:kern w:val="2"/>
          <w:sz w:val="32"/>
          <w:szCs w:val="32"/>
          <w:lang w:val="zh-TW" w:eastAsia="zh-TW"/>
        </w:rPr>
        <w:t>，确保了政府网站的健康有序运行。建立健全月、季度普查机制，落实专人及时对网站信息进行更新，调整优化网页页面设置，新设置执法检查、</w:t>
      </w:r>
      <w:r>
        <w:rPr>
          <w:rFonts w:ascii="仿宋_GB2312" w:hAnsi="仿宋_GB2312" w:eastAsia="仿宋_GB2312" w:cs="仿宋_GB2312"/>
          <w:color w:val="000000"/>
          <w:kern w:val="2"/>
          <w:sz w:val="32"/>
          <w:szCs w:val="32"/>
          <w:lang w:val="zh-TW" w:eastAsia="zh-TW"/>
        </w:rPr>
        <w:t>信用丰台</w:t>
      </w:r>
      <w:r>
        <w:rPr>
          <w:rFonts w:hint="eastAsia" w:ascii="仿宋_GB2312" w:hAnsi="仿宋_GB2312" w:eastAsia="仿宋_GB2312" w:cs="仿宋_GB2312"/>
          <w:color w:val="000000"/>
          <w:kern w:val="2"/>
          <w:sz w:val="32"/>
          <w:szCs w:val="32"/>
          <w:lang w:val="zh-TW" w:eastAsia="zh-TW"/>
        </w:rPr>
        <w:t>等内容专题，提高了政府工作的透明度，拉近了</w:t>
      </w:r>
      <w:r>
        <w:rPr>
          <w:rFonts w:ascii="仿宋_GB2312" w:hAnsi="仿宋_GB2312" w:eastAsia="仿宋_GB2312" w:cs="仿宋_GB2312"/>
          <w:color w:val="000000"/>
          <w:kern w:val="2"/>
          <w:sz w:val="32"/>
          <w:szCs w:val="32"/>
          <w:lang w:val="zh-TW" w:eastAsia="zh-TW"/>
        </w:rPr>
        <w:t>与群众的距离。</w:t>
      </w:r>
      <w:r>
        <w:rPr>
          <w:rFonts w:ascii="Calibri" w:hAnsi="Calibri" w:eastAsia="仿宋_GB2312" w:cs="Calibri"/>
          <w:color w:val="000000"/>
          <w:kern w:val="2"/>
          <w:sz w:val="32"/>
          <w:szCs w:val="32"/>
          <w:lang w:val="zh-TW" w:eastAsia="zh-TW"/>
        </w:rPr>
        <w:t>  </w:t>
      </w:r>
    </w:p>
    <w:p>
      <w:pPr>
        <w:pStyle w:val="4"/>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lang w:val="zh-TW" w:eastAsia="zh-TW"/>
        </w:rPr>
      </w:pPr>
      <w:r>
        <w:rPr>
          <w:rFonts w:hint="eastAsia" w:ascii="仿宋_GB2312" w:hAnsi="仿宋_GB2312" w:eastAsia="仿宋_GB2312" w:cs="仿宋_GB2312"/>
          <w:color w:val="000000"/>
          <w:kern w:val="2"/>
          <w:sz w:val="32"/>
          <w:szCs w:val="32"/>
          <w:lang w:val="zh-TW" w:eastAsia="zh-TW"/>
        </w:rPr>
        <w:t>二是完成丰</w:t>
      </w:r>
      <w:r>
        <w:rPr>
          <w:rFonts w:ascii="仿宋_GB2312" w:hAnsi="仿宋_GB2312" w:eastAsia="仿宋_GB2312" w:cs="仿宋_GB2312"/>
          <w:color w:val="000000"/>
          <w:kern w:val="2"/>
          <w:sz w:val="32"/>
          <w:szCs w:val="32"/>
          <w:lang w:val="zh-TW" w:eastAsia="zh-TW"/>
        </w:rPr>
        <w:t>台区政府信息公开专栏</w:t>
      </w:r>
      <w:r>
        <w:rPr>
          <w:rFonts w:hint="eastAsia" w:ascii="仿宋_GB2312" w:hAnsi="仿宋_GB2312" w:eastAsia="仿宋_GB2312" w:cs="仿宋_GB2312"/>
          <w:color w:val="000000"/>
          <w:kern w:val="2"/>
          <w:sz w:val="32"/>
          <w:szCs w:val="32"/>
          <w:lang w:val="zh-TW" w:eastAsia="zh-TW"/>
        </w:rPr>
        <w:t>改版升级。</w:t>
      </w:r>
      <w:r>
        <w:rPr>
          <w:rFonts w:ascii="仿宋_GB2312" w:hAnsi="仿宋_GB2312" w:eastAsia="仿宋_GB2312" w:cs="仿宋_GB2312"/>
          <w:color w:val="000000"/>
          <w:kern w:val="2"/>
          <w:sz w:val="32"/>
          <w:szCs w:val="32"/>
          <w:lang w:val="zh-TW" w:eastAsia="zh-TW"/>
        </w:rPr>
        <w:t>系统做好栏目</w:t>
      </w:r>
      <w:r>
        <w:rPr>
          <w:rFonts w:hint="eastAsia" w:ascii="仿宋_GB2312" w:hAnsi="仿宋_GB2312" w:eastAsia="仿宋_GB2312" w:cs="仿宋_GB2312"/>
          <w:color w:val="000000"/>
          <w:kern w:val="2"/>
          <w:sz w:val="32"/>
          <w:szCs w:val="32"/>
          <w:lang w:val="zh-TW" w:eastAsia="zh-TW"/>
        </w:rPr>
        <w:t>的</w:t>
      </w:r>
      <w:r>
        <w:rPr>
          <w:rFonts w:ascii="仿宋_GB2312" w:hAnsi="仿宋_GB2312" w:eastAsia="仿宋_GB2312" w:cs="仿宋_GB2312"/>
          <w:color w:val="000000"/>
          <w:kern w:val="2"/>
          <w:sz w:val="32"/>
          <w:szCs w:val="32"/>
          <w:lang w:val="zh-TW" w:eastAsia="zh-TW"/>
        </w:rPr>
        <w:t>展示设计，充分体现“五公开”要求</w:t>
      </w:r>
      <w:r>
        <w:rPr>
          <w:rFonts w:hint="eastAsia" w:ascii="仿宋_GB2312" w:hAnsi="仿宋_GB2312" w:eastAsia="仿宋_GB2312" w:cs="仿宋_GB2312"/>
          <w:color w:val="000000"/>
          <w:kern w:val="2"/>
          <w:sz w:val="32"/>
          <w:szCs w:val="32"/>
          <w:lang w:val="zh-TW" w:eastAsia="zh-TW"/>
        </w:rPr>
        <w:t>，集中展示公开指南、法定公开内容和重点工作任务，优化</w:t>
      </w:r>
      <w:r>
        <w:rPr>
          <w:rFonts w:ascii="仿宋_GB2312" w:hAnsi="仿宋_GB2312" w:eastAsia="仿宋_GB2312" w:cs="仿宋_GB2312"/>
          <w:color w:val="000000"/>
          <w:kern w:val="2"/>
          <w:sz w:val="32"/>
          <w:szCs w:val="32"/>
          <w:lang w:val="zh-TW" w:eastAsia="zh-TW"/>
        </w:rPr>
        <w:t>栏目内搜索引擎功能</w:t>
      </w:r>
      <w:r>
        <w:rPr>
          <w:rFonts w:hint="eastAsia" w:ascii="仿宋_GB2312" w:hAnsi="仿宋_GB2312" w:eastAsia="仿宋_GB2312" w:cs="仿宋_GB2312"/>
          <w:color w:val="000000"/>
          <w:kern w:val="2"/>
          <w:sz w:val="32"/>
          <w:szCs w:val="32"/>
          <w:lang w:val="zh-TW" w:eastAsia="zh-TW"/>
        </w:rPr>
        <w:t>，切实提高政府信息公开工作的时效性，真正达到便民、利民、为民的目的。</w:t>
      </w:r>
    </w:p>
    <w:p>
      <w:pPr>
        <w:pStyle w:val="12"/>
        <w:spacing w:line="560" w:lineRule="exact"/>
        <w:ind w:firstLine="640" w:firstLineChars="200"/>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三是规范政务新媒体运行。2019年对全区政务新媒体进行了普查整改，杜绝了政务新媒体“不发声”、“乱发声”现象，规范了政务新媒体的运行管理。同时积极做好政务新媒体阵地建设，督促部分</w:t>
      </w:r>
      <w:r>
        <w:rPr>
          <w:rFonts w:ascii="仿宋_GB2312" w:hAnsi="仿宋_GB2312" w:eastAsia="仿宋_GB2312" w:cs="仿宋_GB2312"/>
          <w:sz w:val="32"/>
          <w:szCs w:val="32"/>
          <w:lang w:val="zh-TW" w:eastAsia="zh-TW"/>
        </w:rPr>
        <w:t>政务新媒体开放网友评论，回应热点问题</w:t>
      </w:r>
      <w:r>
        <w:rPr>
          <w:rFonts w:hint="eastAsia" w:ascii="仿宋_GB2312" w:hAnsi="仿宋_GB2312" w:eastAsia="仿宋_GB2312" w:cs="仿宋_GB2312"/>
          <w:sz w:val="32"/>
          <w:szCs w:val="32"/>
          <w:lang w:val="zh-TW" w:eastAsia="zh-TW"/>
        </w:rPr>
        <w:t>，拓展政府信息的公开渠道，</w:t>
      </w:r>
      <w:r>
        <w:rPr>
          <w:rFonts w:ascii="仿宋_GB2312" w:hAnsi="仿宋_GB2312" w:eastAsia="仿宋_GB2312" w:cs="仿宋_GB2312"/>
          <w:sz w:val="32"/>
          <w:szCs w:val="32"/>
          <w:lang w:val="zh-TW" w:eastAsia="zh-TW"/>
        </w:rPr>
        <w:t>以更快捷方便的方式向公众传递政府信息。</w:t>
      </w:r>
    </w:p>
    <w:p>
      <w:pPr>
        <w:pStyle w:val="12"/>
        <w:spacing w:line="560" w:lineRule="exact"/>
        <w:ind w:firstLine="640" w:firstLineChars="200"/>
        <w:rPr>
          <w:rFonts w:ascii="楷体_GB2312" w:hAnsi="楷体_GB2312" w:eastAsia="PMingLiU" w:cs="楷体_GB2312"/>
          <w:sz w:val="32"/>
          <w:szCs w:val="32"/>
          <w:lang w:val="zh-TW" w:eastAsia="zh-TW"/>
        </w:rPr>
      </w:pPr>
      <w:r>
        <w:rPr>
          <w:rFonts w:ascii="楷体_GB2312" w:hAnsi="楷体_GB2312" w:eastAsia="楷体_GB2312" w:cs="楷体_GB2312"/>
          <w:sz w:val="32"/>
          <w:szCs w:val="32"/>
          <w:lang w:val="zh-TW" w:eastAsia="zh-TW"/>
        </w:rPr>
        <w:t>（五）政府信息公开监督保障及教育培训情况</w:t>
      </w:r>
    </w:p>
    <w:p>
      <w:pPr>
        <w:pStyle w:val="12"/>
        <w:spacing w:line="560" w:lineRule="exact"/>
        <w:ind w:firstLine="640"/>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一是</w:t>
      </w:r>
      <w:r>
        <w:rPr>
          <w:rFonts w:ascii="仿宋_GB2312" w:hAnsi="仿宋_GB2312" w:eastAsia="仿宋_GB2312" w:cs="仿宋_GB2312"/>
          <w:sz w:val="32"/>
          <w:szCs w:val="32"/>
          <w:lang w:val="zh-TW" w:eastAsia="zh-TW"/>
        </w:rPr>
        <w:t>增强公开意识、法</w:t>
      </w:r>
      <w:r>
        <w:rPr>
          <w:rFonts w:hint="eastAsia" w:ascii="仿宋_GB2312" w:hAnsi="仿宋_GB2312" w:eastAsia="仿宋_GB2312" w:cs="仿宋_GB2312"/>
          <w:sz w:val="32"/>
          <w:szCs w:val="32"/>
          <w:lang w:val="zh-TW" w:eastAsia="zh-TW"/>
        </w:rPr>
        <w:t>治</w:t>
      </w:r>
      <w:r>
        <w:rPr>
          <w:rFonts w:ascii="仿宋_GB2312" w:hAnsi="仿宋_GB2312" w:eastAsia="仿宋_GB2312" w:cs="仿宋_GB2312"/>
          <w:sz w:val="32"/>
          <w:szCs w:val="32"/>
          <w:lang w:val="zh-TW" w:eastAsia="zh-TW"/>
        </w:rPr>
        <w:t>意识。2019年全区共开展两次政府信息公开工作</w:t>
      </w:r>
      <w:r>
        <w:rPr>
          <w:rFonts w:hint="eastAsia" w:ascii="仿宋_GB2312" w:hAnsi="仿宋_GB2312" w:eastAsia="仿宋_GB2312" w:cs="仿宋_GB2312"/>
          <w:sz w:val="32"/>
          <w:szCs w:val="32"/>
          <w:lang w:val="zh-TW" w:eastAsia="zh-TW"/>
        </w:rPr>
        <w:t>集中</w:t>
      </w:r>
      <w:r>
        <w:rPr>
          <w:rFonts w:ascii="仿宋_GB2312" w:hAnsi="仿宋_GB2312" w:eastAsia="仿宋_GB2312" w:cs="仿宋_GB2312"/>
          <w:sz w:val="32"/>
          <w:szCs w:val="32"/>
          <w:lang w:val="zh-TW" w:eastAsia="zh-TW"/>
        </w:rPr>
        <w:t>培训，学习《中华人民共和国政府信息公开条例》、《北京市丰台区2019年政务公开工作要点》等文件精神</w:t>
      </w:r>
      <w:r>
        <w:rPr>
          <w:rFonts w:hint="eastAsia"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eastAsia="zh-TW"/>
        </w:rPr>
        <w:t>研究讨论新条例的立法初衷、法条释义及落实措施</w:t>
      </w:r>
      <w:r>
        <w:rPr>
          <w:rFonts w:hint="eastAsia"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eastAsia="zh-TW"/>
        </w:rPr>
        <w:t>交流政策运用、</w:t>
      </w:r>
      <w:r>
        <w:rPr>
          <w:rFonts w:hint="eastAsia" w:ascii="仿宋_GB2312" w:hAnsi="仿宋_GB2312" w:eastAsia="仿宋_GB2312" w:cs="仿宋_GB2312"/>
          <w:sz w:val="32"/>
          <w:szCs w:val="32"/>
          <w:lang w:val="zh-TW" w:eastAsia="zh-TW"/>
        </w:rPr>
        <w:t>舆情处置</w:t>
      </w:r>
      <w:r>
        <w:rPr>
          <w:rFonts w:ascii="仿宋_GB2312" w:hAnsi="仿宋_GB2312" w:eastAsia="仿宋_GB2312" w:cs="仿宋_GB2312"/>
          <w:sz w:val="32"/>
          <w:szCs w:val="32"/>
          <w:lang w:val="zh-TW" w:eastAsia="zh-TW"/>
        </w:rPr>
        <w:t>等工作情况</w:t>
      </w:r>
      <w:r>
        <w:rPr>
          <w:rFonts w:hint="eastAsia" w:ascii="仿宋_GB2312" w:hAnsi="仿宋_GB2312" w:eastAsia="仿宋_GB2312" w:cs="仿宋_GB2312"/>
          <w:sz w:val="32"/>
          <w:szCs w:val="32"/>
          <w:lang w:val="zh-TW" w:eastAsia="zh-TW"/>
        </w:rPr>
        <w:t>，注重实用性和可操作性，</w:t>
      </w:r>
      <w:r>
        <w:rPr>
          <w:rFonts w:ascii="仿宋_GB2312" w:hAnsi="仿宋_GB2312" w:eastAsia="仿宋_GB2312" w:cs="仿宋_GB2312"/>
          <w:sz w:val="32"/>
          <w:szCs w:val="32"/>
          <w:lang w:val="zh-TW" w:eastAsia="zh-TW"/>
        </w:rPr>
        <w:t>切实增强业务能力。</w:t>
      </w:r>
    </w:p>
    <w:p>
      <w:pPr>
        <w:spacing w:line="560" w:lineRule="exact"/>
        <w:ind w:firstLine="643"/>
        <w:jc w:val="both"/>
        <w:rPr>
          <w:rFonts w:hint="default" w:ascii="仿宋_GB2312" w:hAnsi="仿宋_GB2312" w:eastAsia="仿宋_GB2312" w:cs="仿宋_GB2312"/>
          <w:kern w:val="2"/>
          <w:sz w:val="32"/>
          <w:szCs w:val="32"/>
          <w:lang w:val="zh-TW" w:eastAsia="zh-TW"/>
        </w:rPr>
      </w:pPr>
      <w:r>
        <w:rPr>
          <w:rFonts w:ascii="仿宋_GB2312" w:hAnsi="仿宋_GB2312" w:eastAsia="仿宋_GB2312" w:cs="仿宋_GB2312"/>
          <w:kern w:val="2"/>
          <w:sz w:val="32"/>
          <w:szCs w:val="32"/>
          <w:lang w:val="zh-TW" w:eastAsia="zh-TW"/>
        </w:rPr>
        <w:t>二是强化监督，保障落实。丰台区政府采取多种形式，从组织机构</w:t>
      </w:r>
      <w:r>
        <w:rPr>
          <w:rFonts w:hint="default" w:ascii="仿宋_GB2312" w:hAnsi="仿宋_GB2312" w:eastAsia="仿宋_GB2312" w:cs="仿宋_GB2312"/>
          <w:kern w:val="2"/>
          <w:sz w:val="32"/>
          <w:szCs w:val="32"/>
          <w:lang w:val="zh-TW" w:eastAsia="zh-TW"/>
        </w:rPr>
        <w:t>、</w:t>
      </w:r>
      <w:r>
        <w:rPr>
          <w:rFonts w:ascii="仿宋_GB2312" w:hAnsi="仿宋_GB2312" w:eastAsia="仿宋_GB2312" w:cs="仿宋_GB2312"/>
          <w:kern w:val="2"/>
          <w:sz w:val="32"/>
          <w:szCs w:val="32"/>
          <w:lang w:val="zh-TW" w:eastAsia="zh-TW"/>
        </w:rPr>
        <w:t>工作</w:t>
      </w:r>
      <w:r>
        <w:rPr>
          <w:rFonts w:hint="default" w:ascii="仿宋_GB2312" w:hAnsi="仿宋_GB2312" w:eastAsia="仿宋_GB2312" w:cs="仿宋_GB2312"/>
          <w:kern w:val="2"/>
          <w:sz w:val="32"/>
          <w:szCs w:val="32"/>
          <w:lang w:val="zh-TW" w:eastAsia="zh-TW"/>
        </w:rPr>
        <w:t>机制</w:t>
      </w:r>
      <w:r>
        <w:rPr>
          <w:rFonts w:ascii="仿宋_GB2312" w:hAnsi="仿宋_GB2312" w:eastAsia="仿宋_GB2312" w:cs="仿宋_GB2312"/>
          <w:kern w:val="2"/>
          <w:sz w:val="32"/>
          <w:szCs w:val="32"/>
          <w:lang w:val="zh-TW" w:eastAsia="zh-TW"/>
        </w:rPr>
        <w:t>等方面</w:t>
      </w:r>
      <w:r>
        <w:rPr>
          <w:rFonts w:hint="default" w:ascii="仿宋_GB2312" w:hAnsi="仿宋_GB2312" w:eastAsia="仿宋_GB2312" w:cs="仿宋_GB2312"/>
          <w:kern w:val="2"/>
          <w:sz w:val="32"/>
          <w:szCs w:val="32"/>
          <w:lang w:val="zh-TW" w:eastAsia="zh-TW"/>
        </w:rPr>
        <w:t>入手，</w:t>
      </w:r>
      <w:r>
        <w:rPr>
          <w:rFonts w:ascii="仿宋_GB2312" w:hAnsi="仿宋_GB2312" w:eastAsia="仿宋_GB2312" w:cs="仿宋_GB2312"/>
          <w:kern w:val="2"/>
          <w:sz w:val="32"/>
          <w:szCs w:val="32"/>
          <w:lang w:val="zh-TW" w:eastAsia="zh-TW"/>
        </w:rPr>
        <w:t>强化对政府信息工作</w:t>
      </w:r>
      <w:r>
        <w:rPr>
          <w:rFonts w:hint="default" w:ascii="仿宋_GB2312" w:hAnsi="仿宋_GB2312" w:eastAsia="仿宋_GB2312" w:cs="仿宋_GB2312"/>
          <w:kern w:val="2"/>
          <w:sz w:val="32"/>
          <w:szCs w:val="32"/>
          <w:lang w:val="zh-TW" w:eastAsia="zh-TW"/>
        </w:rPr>
        <w:t>的</w:t>
      </w:r>
      <w:r>
        <w:rPr>
          <w:rFonts w:ascii="仿宋_GB2312" w:hAnsi="仿宋_GB2312" w:eastAsia="仿宋_GB2312" w:cs="仿宋_GB2312"/>
          <w:kern w:val="2"/>
          <w:sz w:val="32"/>
          <w:szCs w:val="32"/>
          <w:lang w:val="zh-TW" w:eastAsia="zh-TW"/>
        </w:rPr>
        <w:t>监督检查工作，实行定期检查与不定期检查相结合，对信息公开中存在的错别字、错链、死链等情况及时整改。同时，鼓励广大干部、群众积极参与监督，积极反映公开过程中存在的突出问题，使公开工作更加扎实、有序开展。</w:t>
      </w:r>
    </w:p>
    <w:p>
      <w:pPr>
        <w:pStyle w:val="12"/>
        <w:spacing w:line="560" w:lineRule="exact"/>
        <w:ind w:firstLine="640" w:firstLineChars="200"/>
        <w:rPr>
          <w:rFonts w:ascii="楷体_GB2312" w:hAnsi="楷体_GB2312" w:eastAsia="楷体_GB2312" w:cs="楷体_GB2312"/>
          <w:sz w:val="32"/>
          <w:szCs w:val="32"/>
          <w:lang w:val="zh-TW" w:eastAsia="zh-TW"/>
        </w:rPr>
      </w:pPr>
      <w:r>
        <w:rPr>
          <w:rFonts w:hint="eastAsia" w:ascii="楷体_GB2312" w:hAnsi="宋体" w:eastAsia="楷体_GB2312" w:cs="宋体"/>
          <w:sz w:val="32"/>
          <w:szCs w:val="32"/>
          <w:lang w:val="zh-TW" w:eastAsia="zh-TW"/>
        </w:rPr>
        <w:t>（六）</w:t>
      </w:r>
      <w:r>
        <w:rPr>
          <w:rFonts w:hint="eastAsia" w:ascii="楷体_GB2312" w:hAnsi="楷体_GB2312" w:eastAsia="楷体_GB2312" w:cs="楷体_GB2312"/>
          <w:sz w:val="32"/>
          <w:szCs w:val="32"/>
          <w:lang w:val="zh-TW" w:eastAsia="zh-TW"/>
        </w:rPr>
        <w:t>工作考核、社会评议和责任追究结果情况</w:t>
      </w:r>
    </w:p>
    <w:p>
      <w:pPr>
        <w:pStyle w:val="4"/>
        <w:spacing w:before="0" w:beforeAutospacing="0" w:after="0" w:afterAutospacing="0" w:line="560" w:lineRule="exact"/>
        <w:ind w:firstLine="640" w:firstLineChars="200"/>
        <w:jc w:val="both"/>
        <w:rPr>
          <w:rFonts w:ascii="仿宋_GB2312" w:hAnsi="仿宋_GB2312" w:eastAsia="PMingLiU" w:cs="仿宋_GB2312"/>
          <w:color w:val="000000"/>
          <w:kern w:val="2"/>
          <w:sz w:val="32"/>
          <w:szCs w:val="32"/>
          <w:lang w:val="zh-TW" w:eastAsia="zh-TW"/>
        </w:rPr>
      </w:pPr>
      <w:r>
        <w:rPr>
          <w:rFonts w:ascii="仿宋_GB2312" w:hAnsi="仿宋_GB2312" w:eastAsia="仿宋_GB2312" w:cs="仿宋_GB2312"/>
          <w:color w:val="000000"/>
          <w:kern w:val="2"/>
          <w:sz w:val="32"/>
          <w:szCs w:val="32"/>
          <w:lang w:val="zh-TW" w:eastAsia="zh-TW"/>
        </w:rPr>
        <w:t>丰台区政府</w:t>
      </w:r>
      <w:r>
        <w:rPr>
          <w:rFonts w:hint="eastAsia" w:ascii="仿宋_GB2312" w:hAnsi="仿宋_GB2312" w:eastAsia="仿宋_GB2312" w:cs="仿宋_GB2312"/>
          <w:color w:val="000000"/>
          <w:kern w:val="2"/>
          <w:sz w:val="32"/>
          <w:szCs w:val="32"/>
          <w:lang w:val="zh-TW" w:eastAsia="zh-TW"/>
        </w:rPr>
        <w:t>加强绩效考核管理，印发</w:t>
      </w:r>
      <w:r>
        <w:rPr>
          <w:rFonts w:ascii="仿宋_GB2312" w:hAnsi="仿宋_GB2312" w:eastAsia="仿宋_GB2312" w:cs="仿宋_GB2312"/>
          <w:color w:val="000000"/>
          <w:kern w:val="2"/>
          <w:sz w:val="32"/>
          <w:szCs w:val="32"/>
          <w:lang w:val="zh-TW" w:eastAsia="zh-TW"/>
        </w:rPr>
        <w:t>《丰台区2019年街乡镇绩效管理考评细则》</w:t>
      </w:r>
      <w:r>
        <w:rPr>
          <w:rFonts w:hint="eastAsia" w:ascii="仿宋_GB2312" w:hAnsi="仿宋_GB2312" w:eastAsia="仿宋_GB2312" w:cs="仿宋_GB2312"/>
          <w:color w:val="000000"/>
          <w:kern w:val="2"/>
          <w:sz w:val="32"/>
          <w:szCs w:val="32"/>
          <w:lang w:val="zh-TW" w:eastAsia="zh-TW"/>
        </w:rPr>
        <w:t>和</w:t>
      </w:r>
      <w:r>
        <w:rPr>
          <w:rFonts w:ascii="仿宋_GB2312" w:hAnsi="仿宋_GB2312" w:eastAsia="仿宋_GB2312" w:cs="仿宋_GB2312"/>
          <w:color w:val="000000"/>
          <w:kern w:val="2"/>
          <w:sz w:val="32"/>
          <w:szCs w:val="32"/>
          <w:lang w:val="zh-TW" w:eastAsia="zh-TW"/>
        </w:rPr>
        <w:t>《丰台区2019年区级行政机关绩效管理考评细则》</w:t>
      </w:r>
      <w:r>
        <w:rPr>
          <w:rFonts w:hint="eastAsia" w:ascii="仿宋_GB2312" w:hAnsi="仿宋_GB2312" w:eastAsia="仿宋_GB2312" w:cs="仿宋_GB2312"/>
          <w:color w:val="000000"/>
          <w:kern w:val="2"/>
          <w:sz w:val="32"/>
          <w:szCs w:val="32"/>
          <w:lang w:val="zh-TW" w:eastAsia="zh-TW"/>
        </w:rPr>
        <w:t>，</w:t>
      </w:r>
      <w:r>
        <w:rPr>
          <w:rFonts w:ascii="仿宋_GB2312" w:hAnsi="仿宋_GB2312" w:eastAsia="仿宋_GB2312" w:cs="仿宋_GB2312"/>
          <w:color w:val="000000"/>
          <w:kern w:val="2"/>
          <w:sz w:val="32"/>
          <w:szCs w:val="32"/>
          <w:lang w:val="zh-TW" w:eastAsia="zh-TW"/>
        </w:rPr>
        <w:t>将42家区级部门和21个街乡镇办事处年度政务公开工作纳入区政府目标考评体系。加强对政府信息公开工作的日常指导和监督检查，每</w:t>
      </w:r>
      <w:r>
        <w:rPr>
          <w:rFonts w:hint="eastAsia" w:ascii="仿宋_GB2312" w:hAnsi="仿宋_GB2312" w:eastAsia="仿宋_GB2312" w:cs="仿宋_GB2312"/>
          <w:color w:val="000000"/>
          <w:kern w:val="2"/>
          <w:sz w:val="32"/>
          <w:szCs w:val="32"/>
          <w:lang w:val="zh-TW" w:eastAsia="zh-TW"/>
        </w:rPr>
        <w:t>季度</w:t>
      </w:r>
      <w:r>
        <w:rPr>
          <w:rFonts w:ascii="仿宋_GB2312" w:hAnsi="仿宋_GB2312" w:eastAsia="仿宋_GB2312" w:cs="仿宋_GB2312"/>
          <w:color w:val="000000"/>
          <w:kern w:val="2"/>
          <w:sz w:val="32"/>
          <w:szCs w:val="32"/>
          <w:lang w:val="zh-TW" w:eastAsia="zh-TW"/>
        </w:rPr>
        <w:t>对全</w:t>
      </w:r>
      <w:r>
        <w:rPr>
          <w:rFonts w:hint="eastAsia" w:ascii="仿宋_GB2312" w:hAnsi="仿宋_GB2312" w:eastAsia="仿宋_GB2312" w:cs="仿宋_GB2312"/>
          <w:color w:val="000000"/>
          <w:kern w:val="2"/>
          <w:sz w:val="32"/>
          <w:szCs w:val="32"/>
          <w:lang w:val="zh-TW" w:eastAsia="zh-TW"/>
        </w:rPr>
        <w:t>区</w:t>
      </w:r>
      <w:r>
        <w:rPr>
          <w:rFonts w:ascii="仿宋_GB2312" w:hAnsi="仿宋_GB2312" w:eastAsia="仿宋_GB2312" w:cs="仿宋_GB2312"/>
          <w:color w:val="000000"/>
          <w:kern w:val="2"/>
          <w:sz w:val="32"/>
          <w:szCs w:val="32"/>
          <w:lang w:val="zh-TW" w:eastAsia="zh-TW"/>
        </w:rPr>
        <w:t>政务公开工作进行统计排名</w:t>
      </w:r>
      <w:r>
        <w:rPr>
          <w:rFonts w:hint="eastAsia" w:ascii="仿宋_GB2312" w:hAnsi="仿宋_GB2312" w:eastAsia="仿宋_GB2312" w:cs="仿宋_GB2312"/>
          <w:color w:val="000000"/>
          <w:kern w:val="2"/>
          <w:sz w:val="32"/>
          <w:szCs w:val="32"/>
          <w:lang w:val="zh-TW" w:eastAsia="zh-TW"/>
        </w:rPr>
        <w:t>。组织开展政府信息和政务公开工作第三方测评，查摆问题并</w:t>
      </w:r>
      <w:r>
        <w:rPr>
          <w:rFonts w:ascii="仿宋_GB2312" w:hAnsi="仿宋_GB2312" w:eastAsia="仿宋_GB2312" w:cs="仿宋_GB2312"/>
          <w:color w:val="000000"/>
          <w:kern w:val="2"/>
          <w:sz w:val="32"/>
          <w:szCs w:val="32"/>
          <w:lang w:val="zh-TW" w:eastAsia="zh-TW"/>
        </w:rPr>
        <w:t>督促整改</w:t>
      </w:r>
      <w:r>
        <w:rPr>
          <w:rFonts w:hint="eastAsia" w:ascii="仿宋_GB2312" w:hAnsi="仿宋_GB2312" w:eastAsia="仿宋_GB2312" w:cs="仿宋_GB2312"/>
          <w:color w:val="000000"/>
          <w:kern w:val="2"/>
          <w:sz w:val="32"/>
          <w:szCs w:val="32"/>
          <w:lang w:val="zh-TW" w:eastAsia="zh-TW"/>
        </w:rPr>
        <w:t>，让考核更有说服力，让考核倒逼工作质量</w:t>
      </w:r>
      <w:r>
        <w:rPr>
          <w:rFonts w:ascii="仿宋_GB2312" w:hAnsi="仿宋_GB2312" w:eastAsia="仿宋_GB2312" w:cs="仿宋_GB2312"/>
          <w:color w:val="000000"/>
          <w:kern w:val="2"/>
          <w:sz w:val="32"/>
          <w:szCs w:val="32"/>
          <w:lang w:val="zh-TW" w:eastAsia="zh-TW"/>
        </w:rPr>
        <w:t>的</w:t>
      </w:r>
      <w:r>
        <w:rPr>
          <w:rFonts w:hint="eastAsia" w:ascii="仿宋_GB2312" w:hAnsi="仿宋_GB2312" w:eastAsia="仿宋_GB2312" w:cs="仿宋_GB2312"/>
          <w:color w:val="000000"/>
          <w:kern w:val="2"/>
          <w:sz w:val="32"/>
          <w:szCs w:val="32"/>
          <w:lang w:val="zh-TW" w:eastAsia="zh-TW"/>
        </w:rPr>
        <w:t>提升。</w:t>
      </w:r>
    </w:p>
    <w:p>
      <w:pPr>
        <w:pStyle w:val="4"/>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lang w:val="zh-TW" w:eastAsia="zh-TW"/>
        </w:rPr>
      </w:pPr>
      <w:r>
        <w:rPr>
          <w:rFonts w:hint="eastAsia" w:ascii="仿宋_GB2312" w:hAnsi="仿宋_GB2312" w:eastAsia="仿宋_GB2312" w:cs="仿宋_GB2312"/>
          <w:color w:val="000000"/>
          <w:kern w:val="2"/>
          <w:sz w:val="32"/>
          <w:szCs w:val="32"/>
          <w:lang w:val="zh-TW" w:eastAsia="zh-TW"/>
        </w:rPr>
        <w:t>2019年丰台区无责任追究情况。</w:t>
      </w:r>
    </w:p>
    <w:p>
      <w:pPr>
        <w:pStyle w:val="12"/>
        <w:spacing w:line="560" w:lineRule="exact"/>
        <w:ind w:firstLine="640"/>
        <w:rPr>
          <w:rFonts w:ascii="黑体" w:hAnsi="黑体" w:eastAsia="黑体" w:cs="黑体"/>
          <w:sz w:val="32"/>
          <w:szCs w:val="32"/>
          <w:lang w:val="zh-TW" w:eastAsia="zh-TW"/>
        </w:rPr>
      </w:pPr>
      <w:r>
        <w:rPr>
          <w:rFonts w:ascii="黑体" w:hAnsi="黑体" w:eastAsia="黑体" w:cs="黑体"/>
          <w:sz w:val="32"/>
          <w:szCs w:val="32"/>
          <w:lang w:val="zh-TW" w:eastAsia="zh-TW"/>
        </w:rPr>
        <w:t>二、主动公开政府信息情况</w:t>
      </w:r>
    </w:p>
    <w:tbl>
      <w:tblPr>
        <w:tblStyle w:val="9"/>
        <w:tblW w:w="889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122"/>
        <w:gridCol w:w="1357"/>
        <w:gridCol w:w="2021"/>
        <w:gridCol w:w="181"/>
        <w:gridCol w:w="1360"/>
        <w:gridCol w:w="160"/>
        <w:gridCol w:w="169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第二十条第（一）项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信息内容</w:t>
            </w:r>
          </w:p>
        </w:tc>
        <w:tc>
          <w:tcPr>
            <w:tcW w:w="20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本年新制作数量</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本年新公开数量</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对外公开总数量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规章</w:t>
            </w:r>
          </w:p>
        </w:tc>
        <w:tc>
          <w:tcPr>
            <w:tcW w:w="20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0</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0</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规范性文件</w:t>
            </w:r>
          </w:p>
        </w:tc>
        <w:tc>
          <w:tcPr>
            <w:tcW w:w="20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40</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31</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60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第二十条第（五）项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上一年项目数量</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本年增</w:t>
            </w:r>
            <w:r>
              <w:rPr>
                <w:rFonts w:ascii="Times New Roman" w:hAnsi="Times New Roman"/>
                <w:kern w:val="0"/>
                <w:sz w:val="20"/>
                <w:szCs w:val="20"/>
              </w:rPr>
              <w:t>/</w:t>
            </w:r>
            <w:r>
              <w:rPr>
                <w:rFonts w:ascii="宋体" w:hAnsi="宋体" w:eastAsia="宋体" w:cs="宋体"/>
                <w:kern w:val="0"/>
                <w:sz w:val="20"/>
                <w:szCs w:val="20"/>
                <w:lang w:val="zh-TW" w:eastAsia="zh-TW"/>
              </w:rPr>
              <w:t>减</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处理决定数量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行政许可</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391</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-84</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71,</w:t>
            </w:r>
            <w:r>
              <w:rPr>
                <w:rFonts w:hint="eastAsia" w:ascii="Times New Roman" w:hAnsi="Times New Roman"/>
                <w:kern w:val="0"/>
                <w:sz w:val="20"/>
                <w:szCs w:val="20"/>
              </w:rPr>
              <w:t>371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11" w:hRule="atLeast"/>
          <w:jc w:val="center"/>
        </w:trPr>
        <w:tc>
          <w:tcPr>
            <w:tcW w:w="2122"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其他对外管理服务事项</w:t>
            </w:r>
          </w:p>
        </w:tc>
        <w:tc>
          <w:tcPr>
            <w:tcW w:w="13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行政检查</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412</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-84</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178,</w:t>
            </w:r>
            <w:r>
              <w:rPr>
                <w:rFonts w:hint="eastAsia" w:ascii="Times New Roman" w:hAnsi="Times New Roman"/>
                <w:kern w:val="0"/>
                <w:sz w:val="20"/>
                <w:szCs w:val="20"/>
              </w:rPr>
              <w:t>495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4" w:hRule="atLeast"/>
          <w:jc w:val="center"/>
        </w:trPr>
        <w:tc>
          <w:tcPr>
            <w:tcW w:w="2122"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行政确认</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5</w:t>
            </w:r>
            <w:r>
              <w:rPr>
                <w:rFonts w:hint="eastAsia" w:ascii="Times New Roman" w:hAnsi="Times New Roman"/>
                <w:kern w:val="0"/>
                <w:sz w:val="20"/>
                <w:szCs w:val="20"/>
              </w:rPr>
              <w:t>1</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w:t>
            </w:r>
            <w:r>
              <w:rPr>
                <w:rFonts w:ascii="Times New Roman" w:hAnsi="Times New Roman"/>
                <w:kern w:val="0"/>
                <w:sz w:val="20"/>
                <w:szCs w:val="20"/>
              </w:rPr>
              <w:t>4</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37,96</w:t>
            </w:r>
            <w:r>
              <w:rPr>
                <w:rFonts w:hint="eastAsia" w:ascii="Times New Roman" w:hAnsi="Times New Roman"/>
                <w:kern w:val="0"/>
                <w:sz w:val="20"/>
                <w:szCs w:val="20"/>
              </w:rPr>
              <w:t>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第二十条第（六）项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上一年项目数量</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本年增</w:t>
            </w:r>
            <w:r>
              <w:rPr>
                <w:rFonts w:ascii="Times New Roman" w:hAnsi="Times New Roman"/>
                <w:kern w:val="0"/>
                <w:sz w:val="20"/>
                <w:szCs w:val="20"/>
              </w:rPr>
              <w:t>/</w:t>
            </w:r>
            <w:r>
              <w:rPr>
                <w:rFonts w:ascii="宋体" w:hAnsi="宋体" w:eastAsia="宋体" w:cs="宋体"/>
                <w:kern w:val="0"/>
                <w:sz w:val="20"/>
                <w:szCs w:val="20"/>
                <w:lang w:val="zh-TW" w:eastAsia="zh-TW"/>
              </w:rPr>
              <w:t>减</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处理决定数量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行政处罚</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6,799</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-24</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2</w:t>
            </w:r>
            <w:r>
              <w:rPr>
                <w:rFonts w:hint="eastAsia" w:ascii="Times New Roman" w:hAnsi="Times New Roman"/>
                <w:kern w:val="0"/>
                <w:sz w:val="20"/>
                <w:szCs w:val="20"/>
              </w:rPr>
              <w:t>6,980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行政强制</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98</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-10</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56</w:t>
            </w:r>
            <w:r>
              <w:rPr>
                <w:rFonts w:hint="eastAsia" w:ascii="Times New Roman" w:hAnsi="Times New Roman"/>
                <w:kern w:val="0"/>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第二十条第（八）项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上一年项目数量</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本年增</w:t>
            </w:r>
            <w:r>
              <w:rPr>
                <w:rFonts w:ascii="Times New Roman" w:hAnsi="Times New Roman"/>
                <w:kern w:val="0"/>
                <w:sz w:val="20"/>
                <w:szCs w:val="20"/>
              </w:rPr>
              <w:t>/</w:t>
            </w:r>
            <w:r>
              <w:rPr>
                <w:rFonts w:ascii="宋体" w:hAnsi="宋体" w:eastAsia="宋体" w:cs="宋体"/>
                <w:kern w:val="0"/>
                <w:sz w:val="20"/>
                <w:szCs w:val="20"/>
                <w:lang w:val="zh-TW" w:eastAsia="zh-TW"/>
              </w:rPr>
              <w:t>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行政事业性收费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1</w:t>
            </w:r>
            <w:r>
              <w:rPr>
                <w:rFonts w:hint="eastAsia" w:ascii="Times New Roman" w:hAnsi="Times New Roman"/>
                <w:kern w:val="0"/>
                <w:sz w:val="20"/>
                <w:szCs w:val="20"/>
              </w:rPr>
              <w:t>8</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hint="eastAsia" w:ascii="Times New Roman" w:hAnsi="Times New Roman"/>
                <w:kern w:val="0"/>
                <w:sz w:val="20"/>
                <w:szCs w:val="20"/>
              </w:rPr>
              <w:t>+</w:t>
            </w:r>
            <w:r>
              <w:rPr>
                <w:rFonts w:ascii="Times New Roman" w:hAnsi="Times New Roman"/>
                <w:kern w:val="0"/>
                <w:sz w:val="20"/>
                <w:szCs w:val="20"/>
              </w:rPr>
              <w:t>10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第二十条第（九）项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采购项目数量</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采购总金额（万元，保留四位小数）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宋体" w:hAnsi="宋体" w:eastAsia="宋体" w:cs="宋体"/>
                <w:kern w:val="0"/>
                <w:sz w:val="20"/>
                <w:szCs w:val="20"/>
                <w:lang w:val="zh-TW" w:eastAsia="zh-TW"/>
              </w:rPr>
              <w:t>政府集中采购</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2</w:t>
            </w:r>
            <w:r>
              <w:rPr>
                <w:rFonts w:hint="eastAsia" w:ascii="Times New Roman" w:hAnsi="Times New Roman"/>
                <w:kern w:val="0"/>
                <w:sz w:val="20"/>
                <w:szCs w:val="20"/>
              </w:rPr>
              <w:t>,750</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2"/>
              <w:widowControl/>
              <w:spacing w:line="560" w:lineRule="exact"/>
            </w:pPr>
            <w:r>
              <w:rPr>
                <w:rFonts w:ascii="Times New Roman" w:hAnsi="Times New Roman"/>
                <w:kern w:val="0"/>
                <w:sz w:val="20"/>
                <w:szCs w:val="20"/>
              </w:rPr>
              <w:t>120,838.</w:t>
            </w:r>
            <w:r>
              <w:rPr>
                <w:rFonts w:hint="eastAsia" w:ascii="Times New Roman" w:hAnsi="Times New Roman"/>
                <w:kern w:val="0"/>
                <w:sz w:val="20"/>
                <w:szCs w:val="20"/>
              </w:rPr>
              <w:t>0029</w:t>
            </w:r>
          </w:p>
        </w:tc>
      </w:tr>
    </w:tbl>
    <w:p>
      <w:pPr>
        <w:pStyle w:val="12"/>
        <w:spacing w:line="560" w:lineRule="exact"/>
        <w:ind w:left="640"/>
        <w:rPr>
          <w:rFonts w:ascii="黑体" w:hAnsi="黑体" w:eastAsia="PMingLiU" w:cs="黑体"/>
          <w:sz w:val="32"/>
          <w:szCs w:val="32"/>
          <w:lang w:val="zh-TW" w:eastAsia="zh-TW"/>
        </w:rPr>
      </w:pPr>
      <w:r>
        <w:rPr>
          <w:rFonts w:ascii="黑体" w:hAnsi="黑体" w:eastAsia="黑体" w:cs="黑体"/>
          <w:sz w:val="32"/>
          <w:szCs w:val="32"/>
          <w:lang w:val="zh-TW" w:eastAsia="zh-TW"/>
        </w:rPr>
        <w:t>三、收到和处理政府信息公开申请情况</w:t>
      </w:r>
    </w:p>
    <w:tbl>
      <w:tblPr>
        <w:tblStyle w:val="9"/>
        <w:tblW w:w="888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44"/>
        <w:gridCol w:w="744"/>
        <w:gridCol w:w="2070"/>
        <w:gridCol w:w="710"/>
        <w:gridCol w:w="710"/>
        <w:gridCol w:w="710"/>
        <w:gridCol w:w="899"/>
        <w:gridCol w:w="879"/>
        <w:gridCol w:w="712"/>
        <w:gridCol w:w="711"/>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0" w:hRule="atLeast"/>
          <w:jc w:val="center"/>
        </w:trPr>
        <w:tc>
          <w:tcPr>
            <w:tcW w:w="35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（本列数据的勾稽关系为：第一项加第二项之和，等于第三项加第四项之和）</w:t>
            </w:r>
          </w:p>
        </w:tc>
        <w:tc>
          <w:tcPr>
            <w:tcW w:w="5331"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申请人情况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0" w:hRule="atLeast"/>
          <w:jc w:val="center"/>
        </w:trPr>
        <w:tc>
          <w:tcPr>
            <w:tcW w:w="35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自然人</w:t>
            </w:r>
          </w:p>
        </w:tc>
        <w:tc>
          <w:tcPr>
            <w:tcW w:w="3910"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法人或其他组织</w:t>
            </w:r>
          </w:p>
        </w:tc>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总计</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5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商业企业</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科研机构</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社会公益组织</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法律服务机构</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其他</w:t>
            </w:r>
          </w:p>
        </w:tc>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一、本年新收政府信息公开申请数量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1,882</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161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2,054</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二、上年结转政府信息公开申请数量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92</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9</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744"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三、本年度办理结果</w:t>
            </w:r>
          </w:p>
        </w:tc>
        <w:tc>
          <w:tcPr>
            <w:tcW w:w="281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（一）予以公开</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531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56</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589</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7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81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（二）部分公开（区分处理的，只计这一情形，不计其他情形）</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133</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135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（三）不予公开</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1.</w:t>
            </w:r>
            <w:r>
              <w:rPr>
                <w:rFonts w:ascii="楷体" w:hAnsi="楷体" w:eastAsia="楷体" w:cs="楷体"/>
                <w:sz w:val="20"/>
                <w:szCs w:val="20"/>
                <w:lang w:val="zh-TW" w:eastAsia="zh-TW"/>
              </w:rPr>
              <w:t>属于国家秘密</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2.</w:t>
            </w:r>
            <w:r>
              <w:rPr>
                <w:rFonts w:ascii="楷体" w:hAnsi="楷体" w:eastAsia="楷体" w:cs="楷体"/>
                <w:sz w:val="20"/>
                <w:szCs w:val="20"/>
                <w:lang w:val="zh-TW" w:eastAsia="zh-TW"/>
              </w:rPr>
              <w:t>其他法律行政法规禁止公开</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16</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3.</w:t>
            </w:r>
            <w:r>
              <w:rPr>
                <w:rFonts w:ascii="楷体" w:hAnsi="楷体" w:eastAsia="楷体" w:cs="楷体"/>
                <w:sz w:val="20"/>
                <w:szCs w:val="20"/>
                <w:lang w:val="zh-TW" w:eastAsia="zh-TW"/>
              </w:rPr>
              <w:t>危及</w:t>
            </w:r>
            <w:r>
              <w:rPr>
                <w:rFonts w:ascii="楷体" w:hAnsi="楷体" w:eastAsia="楷体" w:cs="楷体"/>
                <w:sz w:val="20"/>
                <w:szCs w:val="20"/>
              </w:rPr>
              <w:t>“</w:t>
            </w:r>
            <w:r>
              <w:rPr>
                <w:rFonts w:ascii="楷体" w:hAnsi="楷体" w:eastAsia="楷体" w:cs="楷体"/>
                <w:sz w:val="20"/>
                <w:szCs w:val="20"/>
                <w:lang w:val="zh-TW" w:eastAsia="zh-TW"/>
              </w:rPr>
              <w:t>三安全一稳定</w:t>
            </w:r>
            <w:r>
              <w:rPr>
                <w:rFonts w:ascii="楷体" w:hAnsi="楷体" w:eastAsia="楷体" w:cs="楷体"/>
                <w:sz w:val="20"/>
                <w:szCs w:val="20"/>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4.</w:t>
            </w:r>
            <w:r>
              <w:rPr>
                <w:rFonts w:ascii="楷体" w:hAnsi="楷体" w:eastAsia="楷体" w:cs="楷体"/>
                <w:sz w:val="20"/>
                <w:szCs w:val="20"/>
                <w:lang w:val="zh-TW" w:eastAsia="zh-TW"/>
              </w:rPr>
              <w:t>保护第三方合法权益</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5.</w:t>
            </w:r>
            <w:r>
              <w:rPr>
                <w:rFonts w:ascii="楷体" w:hAnsi="楷体" w:eastAsia="楷体" w:cs="楷体"/>
                <w:sz w:val="20"/>
                <w:szCs w:val="20"/>
                <w:lang w:val="zh-TW" w:eastAsia="zh-TW"/>
              </w:rPr>
              <w:t>属于三类内部事务信息</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5</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6.</w:t>
            </w:r>
            <w:r>
              <w:rPr>
                <w:rFonts w:ascii="楷体" w:hAnsi="楷体" w:eastAsia="楷体" w:cs="楷体"/>
                <w:sz w:val="20"/>
                <w:szCs w:val="20"/>
                <w:lang w:val="zh-TW" w:eastAsia="zh-TW"/>
              </w:rPr>
              <w:t>属于四类过程性信息</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48</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48</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7.</w:t>
            </w:r>
            <w:r>
              <w:rPr>
                <w:rFonts w:ascii="楷体" w:hAnsi="楷体" w:eastAsia="楷体" w:cs="楷体"/>
                <w:sz w:val="20"/>
                <w:szCs w:val="20"/>
                <w:lang w:val="zh-TW" w:eastAsia="zh-TW"/>
              </w:rPr>
              <w:t>属于行政执法案卷</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8.</w:t>
            </w:r>
            <w:r>
              <w:rPr>
                <w:rFonts w:ascii="楷体" w:hAnsi="楷体" w:eastAsia="楷体" w:cs="楷体"/>
                <w:sz w:val="20"/>
                <w:szCs w:val="20"/>
                <w:lang w:val="zh-TW" w:eastAsia="zh-TW"/>
              </w:rPr>
              <w:t>属于行政查询事项</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（四）无法提供</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1.</w:t>
            </w:r>
            <w:r>
              <w:rPr>
                <w:rFonts w:ascii="楷体" w:hAnsi="楷体" w:eastAsia="楷体" w:cs="楷体"/>
                <w:sz w:val="20"/>
                <w:szCs w:val="20"/>
                <w:lang w:val="zh-TW" w:eastAsia="zh-TW"/>
              </w:rPr>
              <w:t>本机关不掌握相关政府信息</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751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48</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7</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806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2.</w:t>
            </w:r>
            <w:r>
              <w:rPr>
                <w:rFonts w:ascii="楷体" w:hAnsi="楷体" w:eastAsia="楷体" w:cs="楷体"/>
                <w:sz w:val="20"/>
                <w:szCs w:val="20"/>
                <w:lang w:val="zh-TW" w:eastAsia="zh-TW"/>
              </w:rPr>
              <w:t>没有现成信息需要另行制作</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33</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34</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3.</w:t>
            </w:r>
            <w:r>
              <w:rPr>
                <w:rFonts w:ascii="楷体" w:hAnsi="楷体" w:eastAsia="楷体" w:cs="楷体"/>
                <w:sz w:val="20"/>
                <w:szCs w:val="20"/>
                <w:lang w:val="zh-TW" w:eastAsia="zh-TW"/>
              </w:rPr>
              <w:t>补正后申请内容仍不明确</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（五）不予处理</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1.</w:t>
            </w:r>
            <w:r>
              <w:rPr>
                <w:rFonts w:ascii="楷体" w:hAnsi="楷体" w:eastAsia="楷体" w:cs="楷体"/>
                <w:sz w:val="20"/>
                <w:szCs w:val="20"/>
                <w:lang w:val="zh-TW" w:eastAsia="zh-TW"/>
              </w:rPr>
              <w:t>信访举报投诉类申请</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17</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17</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2.</w:t>
            </w:r>
            <w:r>
              <w:rPr>
                <w:rFonts w:ascii="楷体" w:hAnsi="楷体" w:eastAsia="楷体" w:cs="楷体"/>
                <w:sz w:val="20"/>
                <w:szCs w:val="20"/>
                <w:lang w:val="zh-TW" w:eastAsia="zh-TW"/>
              </w:rPr>
              <w:t>重复申请</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3.</w:t>
            </w:r>
            <w:r>
              <w:rPr>
                <w:rFonts w:ascii="楷体" w:hAnsi="楷体" w:eastAsia="楷体" w:cs="楷体"/>
                <w:sz w:val="20"/>
                <w:szCs w:val="20"/>
                <w:lang w:val="zh-TW" w:eastAsia="zh-TW"/>
              </w:rPr>
              <w:t>要求提供公开出版物</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4.</w:t>
            </w:r>
            <w:r>
              <w:rPr>
                <w:rFonts w:ascii="楷体" w:hAnsi="楷体" w:eastAsia="楷体" w:cs="楷体"/>
                <w:sz w:val="20"/>
                <w:szCs w:val="20"/>
                <w:lang w:val="zh-TW" w:eastAsia="zh-TW"/>
              </w:rPr>
              <w:t>无正当理由大量反复申请</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7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rPr>
              <w:t>5.</w:t>
            </w:r>
            <w:r>
              <w:rPr>
                <w:rFonts w:ascii="楷体" w:hAnsi="楷体" w:eastAsia="楷体" w:cs="楷体"/>
                <w:sz w:val="20"/>
                <w:szCs w:val="20"/>
                <w:lang w:val="zh-TW" w:eastAsia="zh-TW"/>
              </w:rPr>
              <w:t>要求行政机关确认或重新出具已获取信息</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81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（六）其他处理</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318</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26</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345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0" w:hRule="atLeast"/>
          <w:jc w:val="center"/>
        </w:trPr>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281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楷体" w:hAnsi="楷体" w:eastAsia="楷体" w:cs="楷体"/>
                <w:sz w:val="20"/>
                <w:szCs w:val="20"/>
                <w:lang w:val="zh-TW" w:eastAsia="zh-TW"/>
              </w:rPr>
              <w:t>（七）总计</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1,874</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134</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2,019</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宋体" w:hAnsi="宋体" w:eastAsia="宋体" w:cs="宋体"/>
                <w:sz w:val="20"/>
                <w:szCs w:val="20"/>
                <w:lang w:val="zh-TW" w:eastAsia="zh-TW"/>
              </w:rPr>
              <w:t>四、结转下年度继续办理</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36</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136</w:t>
            </w:r>
          </w:p>
        </w:tc>
      </w:tr>
    </w:tbl>
    <w:p>
      <w:pPr>
        <w:pStyle w:val="12"/>
        <w:spacing w:line="560" w:lineRule="exact"/>
        <w:ind w:firstLine="640"/>
        <w:rPr>
          <w:rFonts w:ascii="黑体" w:hAnsi="黑体" w:eastAsia="PMingLiU" w:cs="黑体"/>
          <w:sz w:val="32"/>
          <w:szCs w:val="32"/>
          <w:lang w:val="zh-TW" w:eastAsia="zh-TW"/>
        </w:rPr>
      </w:pPr>
      <w:r>
        <w:rPr>
          <w:rFonts w:ascii="黑体" w:hAnsi="黑体" w:eastAsia="黑体" w:cs="黑体"/>
          <w:sz w:val="32"/>
          <w:szCs w:val="32"/>
          <w:lang w:val="zh-TW" w:eastAsia="zh-TW"/>
        </w:rPr>
        <w:t>四、政府信息公开行政复议、行政诉讼情况</w:t>
      </w:r>
    </w:p>
    <w:tbl>
      <w:tblPr>
        <w:tblStyle w:val="9"/>
        <w:tblW w:w="895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596"/>
        <w:gridCol w:w="697"/>
        <w:gridCol w:w="655"/>
        <w:gridCol w:w="567"/>
        <w:gridCol w:w="545"/>
        <w:gridCol w:w="591"/>
        <w:gridCol w:w="645"/>
        <w:gridCol w:w="646"/>
        <w:gridCol w:w="587"/>
        <w:gridCol w:w="567"/>
        <w:gridCol w:w="567"/>
        <w:gridCol w:w="567"/>
        <w:gridCol w:w="567"/>
        <w:gridCol w:w="658"/>
        <w:gridCol w:w="497"/>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5" w:hRule="atLeast"/>
          <w:jc w:val="center"/>
        </w:trPr>
        <w:tc>
          <w:tcPr>
            <w:tcW w:w="3060"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行政复议</w:t>
            </w:r>
          </w:p>
        </w:tc>
        <w:tc>
          <w:tcPr>
            <w:tcW w:w="5892" w:type="dxa"/>
            <w:gridSpan w:val="10"/>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行政诉讼</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45" w:hRule="atLeast"/>
          <w:jc w:val="center"/>
        </w:trPr>
        <w:tc>
          <w:tcPr>
            <w:tcW w:w="596"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结果维持</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结果纠正</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其他结果</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尚未审结</w:t>
            </w: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总计</w:t>
            </w:r>
          </w:p>
        </w:tc>
        <w:tc>
          <w:tcPr>
            <w:tcW w:w="3036"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未经复议直接起诉</w:t>
            </w:r>
          </w:p>
        </w:tc>
        <w:tc>
          <w:tcPr>
            <w:tcW w:w="2856"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复议后起诉</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0" w:hRule="atLeast"/>
          <w:jc w:val="center"/>
        </w:trPr>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both"/>
              <w:rPr>
                <w:rFonts w:hint="default"/>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结果维持</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结果纠正</w:t>
            </w: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其他结果</w:t>
            </w: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尚未审结</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总计</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结果维持</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结果纠正</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其他结果</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尚未审结</w:t>
            </w:r>
          </w:p>
        </w:tc>
        <w:tc>
          <w:tcPr>
            <w:tcW w:w="4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sz w:val="20"/>
                <w:szCs w:val="20"/>
                <w:lang w:val="zh-TW" w:eastAsia="zh-TW"/>
              </w:rPr>
              <w:t>总计</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35" w:hRule="atLeast"/>
          <w:jc w:val="center"/>
        </w:trPr>
        <w:tc>
          <w:tcPr>
            <w:tcW w:w="5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152</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18</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8</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54</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232</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69</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12</w:t>
            </w: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8</w:t>
            </w: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105</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0</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4</w:t>
            </w:r>
          </w:p>
        </w:tc>
        <w:tc>
          <w:tcPr>
            <w:tcW w:w="4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both"/>
              <w:rPr>
                <w:rFonts w:hint="default"/>
              </w:rPr>
            </w:pPr>
            <w:r>
              <w:rPr>
                <w:rFonts w:ascii="Times New Roman" w:hAnsi="Times New Roman"/>
                <w:sz w:val="20"/>
                <w:szCs w:val="20"/>
              </w:rPr>
              <w:t>14</w:t>
            </w:r>
          </w:p>
        </w:tc>
      </w:tr>
    </w:tbl>
    <w:p>
      <w:pPr>
        <w:pStyle w:val="12"/>
        <w:spacing w:line="560" w:lineRule="exact"/>
        <w:ind w:firstLine="645"/>
        <w:rPr>
          <w:rFonts w:ascii="黑体" w:hAnsi="黑体" w:eastAsia="黑体" w:cs="黑体"/>
          <w:sz w:val="32"/>
          <w:szCs w:val="32"/>
          <w:lang w:val="zh-TW" w:eastAsia="zh-TW"/>
        </w:rPr>
      </w:pPr>
      <w:r>
        <w:rPr>
          <w:rFonts w:ascii="黑体" w:hAnsi="黑体" w:eastAsia="黑体" w:cs="黑体"/>
          <w:sz w:val="32"/>
          <w:szCs w:val="32"/>
          <w:lang w:val="zh-TW" w:eastAsia="zh-TW"/>
        </w:rPr>
        <w:t>五、政府信息公开工作存在的主要问题及改进情况</w:t>
      </w:r>
    </w:p>
    <w:p>
      <w:pPr>
        <w:pStyle w:val="12"/>
        <w:spacing w:line="560" w:lineRule="exact"/>
        <w:ind w:firstLine="645"/>
        <w:rPr>
          <w:rFonts w:ascii="楷体_GB2312" w:hAnsi="楷体_GB2312" w:eastAsia="楷体_GB2312" w:cs="楷体_GB2312"/>
          <w:sz w:val="32"/>
          <w:szCs w:val="32"/>
          <w:lang w:val="zh-TW" w:eastAsia="zh-TW"/>
        </w:rPr>
      </w:pPr>
      <w:r>
        <w:rPr>
          <w:rFonts w:ascii="楷体_GB2312" w:hAnsi="楷体_GB2312" w:eastAsia="楷体_GB2312" w:cs="楷体_GB2312"/>
          <w:sz w:val="32"/>
          <w:szCs w:val="32"/>
          <w:lang w:val="zh-TW" w:eastAsia="zh-TW"/>
        </w:rPr>
        <w:t>（一）主要问题</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一是新版政府信息公开专栏亟需充实与完善。政府信息公开的深度和广度仍显不足，特别是重点领域信息公开的数量和质量有待提升。信息公开形式略显单一，有待创新。依申请公开答复流程存在不规范的现象。</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二是政府信息公开平台建设还需优化与加强。丰台区新版政府网站友好性、便捷性和功能性稍显欠缺，政民互动方面略显薄弱。部分单位新媒体平台转发文章多，原创文章少，与网友互动性不够。</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三是个别单位对政府信息公开工作的认识还不到位，工作人员公开意识不强，公开政府信息不及时，回复网站网民简单留言时间一般在3-5个工作日，影响公众获取政府信息的畅通性和解答问题的效率。</w:t>
      </w:r>
    </w:p>
    <w:p>
      <w:pPr>
        <w:pStyle w:val="12"/>
        <w:spacing w:line="560" w:lineRule="exact"/>
        <w:ind w:firstLine="645"/>
        <w:rPr>
          <w:rFonts w:ascii="楷体_GB2312" w:hAnsi="楷体_GB2312" w:eastAsia="楷体_GB2312" w:cs="楷体_GB2312"/>
        </w:rPr>
      </w:pPr>
      <w:r>
        <w:rPr>
          <w:rFonts w:ascii="楷体_GB2312" w:hAnsi="楷体_GB2312" w:eastAsia="楷体_GB2312" w:cs="楷体_GB2312"/>
          <w:sz w:val="32"/>
          <w:szCs w:val="32"/>
          <w:lang w:val="zh-TW" w:eastAsia="zh-TW"/>
        </w:rPr>
        <w:t>（二）改进情况</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一是加强信息公开业务培训和考核。围绕丰台区政府工作报告，涉及民生和丰台区长远发展的重点领域政府信息梳理出公开清单，并在新版政府信息公开专栏显示。每季度邀请市（区）第三方评估机构考核各单位政府信息主动公开和依申请公开流程规范情况，根据考核结果有针对性地培训和整改，并将整改结果列入年底绩效考核。各单位通过集中学习和剖析本单位的依申请公开案例，特别是引发复议诉讼典型案例，提升依申请公开业务水平。</w:t>
      </w:r>
    </w:p>
    <w:p>
      <w:pPr>
        <w:pStyle w:val="12"/>
        <w:spacing w:line="560" w:lineRule="exact"/>
        <w:ind w:firstLine="678"/>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二是为增加区政府网站友好性，扩展政民互动的广度，提供网上办事效率，丰台区政府网站一方面与市级统一资源库的对接，市区两个网站平台的数据资源实现共享。统一区政府网站登录账号，网民网上咨询办事只需一号登录。另一方面通过网络集思广益，向广大网民征集区政府网站建设的意见和建议。2020年2月丰台区政府网站政民互动栏目中向广大网民发起了参与“丰台区政府网站内容民意调查问卷”的活动，希望通过民意调查收集完善丰台区政府网站内容建设的合理化建议，建设便民友好、精准服务的网上政府。新版丰台区政府门户网站预计将于2020年第二季度上线。不定期排查新媒体运行情况，关停关注量少、长期不更新政府信息的“僵尸</w:t>
      </w:r>
      <w:r>
        <w:rPr>
          <w:rFonts w:hint="eastAsia" w:ascii="仿宋_GB2312" w:hAnsi="仿宋_GB2312" w:eastAsia="仿宋_GB2312" w:cs="仿宋_GB2312"/>
          <w:sz w:val="32"/>
          <w:szCs w:val="32"/>
          <w:lang w:val="zh-TW" w:eastAsia="zh-CN"/>
        </w:rPr>
        <w:t>账号</w:t>
      </w:r>
      <w:bookmarkStart w:id="0" w:name="_GoBack"/>
      <w:bookmarkEnd w:id="0"/>
      <w:r>
        <w:rPr>
          <w:rFonts w:ascii="仿宋_GB2312" w:hAnsi="仿宋_GB2312" w:eastAsia="仿宋_GB2312" w:cs="仿宋_GB2312"/>
          <w:sz w:val="32"/>
          <w:szCs w:val="32"/>
          <w:lang w:val="zh-TW" w:eastAsia="zh-TW"/>
        </w:rPr>
        <w:t>”，鼓励各单位根据工作要求多发布原创文章，并积极回复网友留言。</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三是强化各单位政府信息公开意识，进一步加强业务培训，主动公开业务量大、依申请公开任务重的单位重点辅导，工作人员重点培训。</w:t>
      </w:r>
    </w:p>
    <w:p>
      <w:pPr>
        <w:pStyle w:val="12"/>
        <w:numPr>
          <w:ilvl w:val="0"/>
          <w:numId w:val="3"/>
        </w:numPr>
        <w:spacing w:line="560" w:lineRule="exact"/>
        <w:rPr>
          <w:rFonts w:ascii="黑体" w:hAnsi="黑体" w:eastAsia="黑体" w:cs="黑体"/>
          <w:sz w:val="32"/>
          <w:szCs w:val="32"/>
          <w:lang w:val="zh-TW" w:eastAsia="zh-TW"/>
        </w:rPr>
      </w:pPr>
      <w:r>
        <w:rPr>
          <w:rFonts w:ascii="黑体" w:hAnsi="黑体" w:eastAsia="黑体" w:cs="黑体"/>
          <w:sz w:val="32"/>
          <w:szCs w:val="32"/>
          <w:lang w:val="zh-TW" w:eastAsia="zh-TW"/>
        </w:rPr>
        <w:t>其他需要报告的事项</w:t>
      </w:r>
    </w:p>
    <w:p>
      <w:pPr>
        <w:pStyle w:val="12"/>
        <w:spacing w:line="560" w:lineRule="exact"/>
        <w:ind w:firstLine="675"/>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本报告结合各乡（镇）政府、街道（地区）办事处，区级各部门2019年政府信息公开工作实际编制完成。如您想了解更多北京市丰台区政府信息，欢迎登录以下网址查询：</w:t>
      </w:r>
    </w:p>
    <w:p>
      <w:pPr>
        <w:pStyle w:val="12"/>
        <w:spacing w:line="560" w:lineRule="exact"/>
        <w:ind w:firstLine="67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1.北京市丰台区人民政府门户网站：</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 xml:space="preserve">http://www.bjft.gov.cn/ftq/index.shtml </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2.北京市丰台区政府信息公开专栏：</w:t>
      </w:r>
    </w:p>
    <w:p>
      <w:pPr>
        <w:pStyle w:val="12"/>
        <w:spacing w:line="560" w:lineRule="exact"/>
        <w:ind w:firstLine="640" w:firstLineChars="20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http://www.bjft.gov.cn/zfxxgk/11G000/c1000012/xxgkzn.shtml</w:t>
      </w:r>
    </w:p>
    <w:sectPr>
      <w:footerReference r:id="rId3" w:type="default"/>
      <w:pgSz w:w="11900" w:h="16840"/>
      <w:pgMar w:top="1871" w:right="1474" w:bottom="1871" w:left="1474"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Helvetica Neue">
    <w:altName w:val="Times New Roman"/>
    <w:panose1 w:val="00000000000000000000"/>
    <w:charset w:val="00"/>
    <w:family w:val="roman"/>
    <w:pitch w:val="default"/>
    <w:sig w:usb0="00000000" w:usb1="00000000" w:usb2="00000000" w:usb3="00000000" w:csb0="00000000" w:csb1="00000000"/>
  </w:font>
  <w:font w:name="Arial Rounded MT Bold">
    <w:panose1 w:val="020F0704030504030204"/>
    <w:charset w:val="00"/>
    <w:family w:val="swiss"/>
    <w:pitch w:val="default"/>
    <w:sig w:usb0="00000003" w:usb1="00000000" w:usb2="00000000" w:usb3="00000000" w:csb0="20000001" w:csb1="00000000"/>
  </w:font>
  <w:font w:name="方正小标宋简体">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0790833"/>
      <w:docPartObj>
        <w:docPartGallery w:val="AutoText"/>
      </w:docPartObj>
    </w:sdtPr>
    <w:sdtContent>
      <w:p>
        <w:pPr>
          <w:pStyle w:val="2"/>
          <w:jc w:val="center"/>
          <w:rPr>
            <w:rFonts w:hint="default"/>
          </w:rPr>
        </w:pPr>
        <w:r>
          <w:fldChar w:fldCharType="begin"/>
        </w:r>
        <w:r>
          <w:instrText xml:space="preserve">PAGE   \* MERGEFORMAT</w:instrText>
        </w:r>
        <w:r>
          <w:fldChar w:fldCharType="separate"/>
        </w:r>
        <w:r>
          <w:rPr>
            <w:rFonts w:hint="default"/>
            <w:lang w:val="zh-CN"/>
          </w:rPr>
          <w:t>5</w:t>
        </w:r>
        <w:r>
          <w:fldChar w:fldCharType="end"/>
        </w:r>
      </w:p>
    </w:sdtContent>
  </w:sdt>
  <w:p>
    <w:pPr>
      <w:pStyle w:val="11"/>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834559"/>
    <w:multiLevelType w:val="multilevel"/>
    <w:tmpl w:val="5D834559"/>
    <w:lvl w:ilvl="0" w:tentative="0">
      <w:start w:val="1"/>
      <w:numFmt w:val="japaneseCounting"/>
      <w:lvlText w:val="（%1）"/>
      <w:lvlJc w:val="left"/>
      <w:pPr>
        <w:ind w:left="1585" w:hanging="945"/>
      </w:pPr>
      <w:rPr>
        <w:rFonts w:hint="default" w:eastAsia="楷体_GB231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E7C09F5"/>
    <w:multiLevelType w:val="multilevel"/>
    <w:tmpl w:val="5E7C09F5"/>
    <w:lvl w:ilvl="0" w:tentative="0">
      <w:start w:val="1"/>
      <w:numFmt w:val="ideographDigital"/>
      <w:lvlText w:val="%1."/>
      <w:lvlJc w:val="left"/>
      <w:pPr>
        <w:ind w:left="1365" w:hanging="72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85"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905" w:hanging="598"/>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325"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745"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165" w:hanging="598"/>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3585"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4005"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4425" w:hanging="5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781750B2"/>
    <w:multiLevelType w:val="multilevel"/>
    <w:tmpl w:val="781750B2"/>
    <w:lvl w:ilvl="0" w:tentative="0">
      <w:start w:val="1"/>
      <w:numFmt w:val="japaneseCounting"/>
      <w:lvlText w:val="%1、"/>
      <w:lvlJc w:val="left"/>
      <w:pPr>
        <w:ind w:left="1360" w:hanging="720"/>
      </w:pPr>
      <w:rPr>
        <w:rFonts w:hint="default" w:eastAsiaTheme="minor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2b375f3e-2cc0-4cbe-ab6b-c64df7369eac"/>
  </w:docVars>
  <w:rsids>
    <w:rsidRoot w:val="00BF0C8B"/>
    <w:rsid w:val="000414D6"/>
    <w:rsid w:val="0007640E"/>
    <w:rsid w:val="000942CC"/>
    <w:rsid w:val="000C7273"/>
    <w:rsid w:val="00131D53"/>
    <w:rsid w:val="00140524"/>
    <w:rsid w:val="001552E5"/>
    <w:rsid w:val="0019461B"/>
    <w:rsid w:val="001D0F1D"/>
    <w:rsid w:val="002A29B4"/>
    <w:rsid w:val="002A7809"/>
    <w:rsid w:val="002D2C62"/>
    <w:rsid w:val="002E6345"/>
    <w:rsid w:val="002F40D7"/>
    <w:rsid w:val="00321131"/>
    <w:rsid w:val="003C06B2"/>
    <w:rsid w:val="003C1388"/>
    <w:rsid w:val="003C33A1"/>
    <w:rsid w:val="003D697E"/>
    <w:rsid w:val="00434961"/>
    <w:rsid w:val="004C6272"/>
    <w:rsid w:val="00520D10"/>
    <w:rsid w:val="0057761C"/>
    <w:rsid w:val="0060694D"/>
    <w:rsid w:val="00617833"/>
    <w:rsid w:val="0066422F"/>
    <w:rsid w:val="00687861"/>
    <w:rsid w:val="006A3683"/>
    <w:rsid w:val="00744981"/>
    <w:rsid w:val="00766BE1"/>
    <w:rsid w:val="0078223F"/>
    <w:rsid w:val="007E0A42"/>
    <w:rsid w:val="007E19F9"/>
    <w:rsid w:val="008257AB"/>
    <w:rsid w:val="008400F7"/>
    <w:rsid w:val="008C4727"/>
    <w:rsid w:val="008F30E7"/>
    <w:rsid w:val="00905C90"/>
    <w:rsid w:val="0091593B"/>
    <w:rsid w:val="009448C5"/>
    <w:rsid w:val="00964171"/>
    <w:rsid w:val="00976F8D"/>
    <w:rsid w:val="00991961"/>
    <w:rsid w:val="00A84DED"/>
    <w:rsid w:val="00AA4DBB"/>
    <w:rsid w:val="00AB16AD"/>
    <w:rsid w:val="00AC7775"/>
    <w:rsid w:val="00B0502D"/>
    <w:rsid w:val="00B25356"/>
    <w:rsid w:val="00B7546E"/>
    <w:rsid w:val="00BD077E"/>
    <w:rsid w:val="00BF0C8B"/>
    <w:rsid w:val="00BF3AD9"/>
    <w:rsid w:val="00C31267"/>
    <w:rsid w:val="00C66BDD"/>
    <w:rsid w:val="00C904C7"/>
    <w:rsid w:val="00CF503D"/>
    <w:rsid w:val="00D47F2F"/>
    <w:rsid w:val="00DA5166"/>
    <w:rsid w:val="00DE246C"/>
    <w:rsid w:val="00EB0996"/>
    <w:rsid w:val="00EE4F99"/>
    <w:rsid w:val="00F1322A"/>
    <w:rsid w:val="00F5446F"/>
    <w:rsid w:val="00F8403F"/>
    <w:rsid w:val="5E5D0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Arial Unicode MS" w:cs="Arial Unicode MS"/>
      <w:color w:val="000000"/>
      <w:sz w:val="24"/>
      <w:szCs w:val="24"/>
      <w:u w:color="000000"/>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hint="default" w:ascii="宋体" w:hAnsi="宋体" w:eastAsia="宋体" w:cs="宋体"/>
      <w:color w:val="auto"/>
    </w:rPr>
  </w:style>
  <w:style w:type="character" w:styleId="7">
    <w:name w:val="Emphasis"/>
    <w:basedOn w:val="6"/>
    <w:qFormat/>
    <w:uiPriority w:val="20"/>
    <w:rPr>
      <w:i/>
      <w:iCs/>
    </w:rPr>
  </w:style>
  <w:style w:type="character" w:styleId="8">
    <w:name w:val="Hyperlink"/>
    <w:uiPriority w:val="0"/>
    <w:rPr>
      <w:u w:val="single"/>
    </w:rPr>
  </w:style>
  <w:style w:type="table" w:customStyle="1" w:styleId="9">
    <w:name w:val="Table Normal"/>
    <w:uiPriority w:val="0"/>
    <w:tblPr>
      <w:tblCellMar>
        <w:top w:w="0" w:type="dxa"/>
        <w:left w:w="0" w:type="dxa"/>
        <w:bottom w:w="0" w:type="dxa"/>
        <w:right w:w="0" w:type="dxa"/>
      </w:tblCellMar>
    </w:tblPr>
  </w:style>
  <w:style w:type="paragraph" w:customStyle="1" w:styleId="10">
    <w:name w:val="页眉与页脚"/>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1">
    <w:name w:val="页脚1"/>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pPr>
    <w:rPr>
      <w:rFonts w:ascii="Arial Rounded MT Bold" w:hAnsi="Arial Rounded MT Bold" w:eastAsia="Arial Unicode MS" w:cs="Arial Unicode MS"/>
      <w:color w:val="000000"/>
      <w:kern w:val="2"/>
      <w:sz w:val="18"/>
      <w:szCs w:val="18"/>
      <w:u w:color="000000"/>
      <w:lang w:val="en-US" w:eastAsia="zh-CN" w:bidi="ar-SA"/>
    </w:rPr>
  </w:style>
  <w:style w:type="paragraph" w:customStyle="1" w:styleId="12">
    <w:name w:val="正文 A"/>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Arial Unicode MS" w:hAnsi="Arial Unicode MS" w:eastAsia="Arial Unicode MS" w:cs="Arial Unicode MS"/>
      <w:color w:val="000000"/>
      <w:kern w:val="2"/>
      <w:sz w:val="21"/>
      <w:szCs w:val="21"/>
      <w:u w:color="000000"/>
      <w:lang w:val="en-US" w:eastAsia="zh-CN" w:bidi="ar-SA"/>
    </w:rPr>
  </w:style>
  <w:style w:type="paragraph" w:styleId="13">
    <w:name w:val="List Paragraph"/>
    <w:basedOn w:val="1"/>
    <w:qFormat/>
    <w:uiPriority w:val="34"/>
    <w:pPr>
      <w:ind w:firstLine="420" w:firstLineChars="200"/>
    </w:pPr>
  </w:style>
  <w:style w:type="character" w:customStyle="1" w:styleId="14">
    <w:name w:val="页眉 Char"/>
    <w:basedOn w:val="6"/>
    <w:link w:val="3"/>
    <w:qFormat/>
    <w:uiPriority w:val="99"/>
    <w:rPr>
      <w:rFonts w:ascii="Arial Unicode MS" w:hAnsi="Arial Unicode MS" w:eastAsia="Arial Unicode MS" w:cs="Arial Unicode MS"/>
      <w:color w:val="000000"/>
      <w:sz w:val="18"/>
      <w:szCs w:val="18"/>
      <w:u w:color="000000"/>
    </w:rPr>
  </w:style>
  <w:style w:type="character" w:customStyle="1" w:styleId="15">
    <w:name w:val="页脚 Char"/>
    <w:basedOn w:val="6"/>
    <w:link w:val="2"/>
    <w:qFormat/>
    <w:uiPriority w:val="99"/>
    <w:rPr>
      <w:rFonts w:ascii="Arial Unicode MS" w:hAnsi="Arial Unicode MS" w:eastAsia="Arial Unicode MS" w:cs="Arial Unicode MS"/>
      <w:color w:val="000000"/>
      <w:sz w:val="18"/>
      <w:szCs w:val="18"/>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658</Words>
  <Characters>3752</Characters>
  <Lines>31</Lines>
  <Paragraphs>8</Paragraphs>
  <TotalTime>853</TotalTime>
  <ScaleCrop>false</ScaleCrop>
  <LinksUpToDate>false</LinksUpToDate>
  <CharactersWithSpaces>4402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2020-03-02T02:02:00Z</dcterms:created>
  <dc:creator>47034</dc:creator>
  <cp:lastModifiedBy>血月舞殇</cp:lastModifiedBy>
  <dcterms:modified xsi:type="dcterms:W3CDTF">2024-10-28T08:09:18Z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74D6C776DD604B639B671E7AFCBB9F0C</vt:lpwstr>
  </property>
</Properties>
</file>