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rPr>
      </w:pPr>
    </w:p>
    <w:p>
      <w:pPr>
        <w:spacing w:line="560" w:lineRule="exact"/>
        <w:jc w:val="center"/>
        <w:rPr>
          <w:rFonts w:hint="eastAsia" w:ascii="方正小标宋简体" w:hAnsi="方正小标宋简体" w:eastAsia="方正小标宋简体" w:cs="方正小标宋简体"/>
          <w:sz w:val="44"/>
          <w:szCs w:val="44"/>
          <w:lang w:eastAsia="zh-CN" w:bidi="ar"/>
        </w:rPr>
      </w:pPr>
      <w:r>
        <w:rPr>
          <w:rFonts w:hint="eastAsia" w:ascii="方正小标宋简体" w:hAnsi="方正小标宋简体" w:eastAsia="方正小标宋简体" w:cs="方正小标宋简体"/>
          <w:sz w:val="44"/>
          <w:szCs w:val="44"/>
          <w:lang w:eastAsia="zh-CN" w:bidi="ar"/>
        </w:rPr>
        <w:t>丰台区发展和改革委员会</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bidi="ar"/>
        </w:rPr>
        <w:t>2023年政府信息公开工作年度报告</w:t>
      </w:r>
    </w:p>
    <w:p>
      <w:pPr>
        <w:spacing w:line="560" w:lineRule="exact"/>
        <w:jc w:val="center"/>
        <w:rPr>
          <w:sz w:val="44"/>
          <w:szCs w:val="44"/>
        </w:rPr>
      </w:pPr>
      <w:r>
        <w:rPr>
          <w:rFonts w:hint="eastAsia" w:ascii="微软雅黑" w:hAnsi="微软雅黑" w:eastAsia="微软雅黑" w:cs="宋体"/>
          <w:color w:val="404040"/>
          <w:kern w:val="0"/>
          <w:sz w:val="24"/>
          <w:lang w:bidi="ar"/>
        </w:rPr>
        <w:t>　</w:t>
      </w:r>
      <w:r>
        <w:rPr>
          <w:rFonts w:hint="eastAsia" w:ascii="微软雅黑" w:hAnsi="微软雅黑" w:eastAsia="微软雅黑" w:cs="宋体"/>
          <w:color w:val="404040"/>
          <w:kern w:val="0"/>
          <w:sz w:val="32"/>
          <w:szCs w:val="32"/>
          <w:lang w:bidi="ar"/>
        </w:rPr>
        <w:t xml:space="preserve">  </w:t>
      </w:r>
    </w:p>
    <w:p>
      <w:pPr>
        <w:widowControl/>
        <w:spacing w:line="560" w:lineRule="exact"/>
        <w:jc w:val="left"/>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lang w:bidi="ar"/>
        </w:rPr>
        <w:t>　　</w:t>
      </w:r>
      <w:r>
        <w:rPr>
          <w:rFonts w:hint="eastAsia" w:ascii="微软雅黑" w:hAnsi="微软雅黑" w:eastAsia="微软雅黑" w:cs="宋体"/>
          <w:color w:val="404040"/>
          <w:kern w:val="0"/>
          <w:sz w:val="32"/>
          <w:szCs w:val="32"/>
          <w:lang w:bidi="ar"/>
        </w:rPr>
        <w:t xml:space="preserve">   </w:t>
      </w:r>
      <w:r>
        <w:rPr>
          <w:rFonts w:hint="eastAsia" w:ascii="仿宋_GB2312" w:hAnsi="宋体" w:eastAsia="仿宋_GB2312" w:cs="宋体"/>
          <w:spacing w:val="8"/>
          <w:kern w:val="0"/>
          <w:sz w:val="32"/>
          <w:szCs w:val="32"/>
          <w:lang w:bidi="ar"/>
        </w:rPr>
        <w:t>依据《中华人民共和国政府信息公开条例》(以下简称《政府信息公开条例》)第五十条规定，编制本报告。</w:t>
      </w:r>
    </w:p>
    <w:p>
      <w:pPr>
        <w:widowControl/>
        <w:numPr>
          <w:ilvl w:val="0"/>
          <w:numId w:val="1"/>
        </w:numPr>
        <w:spacing w:line="560" w:lineRule="exact"/>
        <w:ind w:firstLine="672" w:firstLineChars="200"/>
        <w:jc w:val="left"/>
        <w:rPr>
          <w:rFonts w:hint="eastAsia" w:ascii="黑体" w:hAnsi="宋体" w:eastAsia="黑体" w:cs="宋体"/>
          <w:spacing w:val="8"/>
          <w:kern w:val="0"/>
          <w:sz w:val="32"/>
          <w:szCs w:val="32"/>
          <w:lang w:bidi="ar"/>
        </w:rPr>
      </w:pPr>
      <w:r>
        <w:rPr>
          <w:rFonts w:hint="eastAsia" w:ascii="黑体" w:hAnsi="宋体" w:eastAsia="黑体" w:cs="宋体"/>
          <w:spacing w:val="8"/>
          <w:kern w:val="0"/>
          <w:sz w:val="32"/>
          <w:szCs w:val="32"/>
          <w:lang w:bidi="ar"/>
        </w:rPr>
        <w:t>总体情况</w:t>
      </w:r>
    </w:p>
    <w:p>
      <w:pPr>
        <w:pStyle w:val="2"/>
        <w:numPr>
          <w:ilvl w:val="0"/>
          <w:numId w:val="0"/>
        </w:numPr>
        <w:ind w:firstLine="672" w:firstLineChars="200"/>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spacing w:val="8"/>
          <w:kern w:val="0"/>
          <w:sz w:val="32"/>
          <w:szCs w:val="32"/>
          <w:lang w:val="en-US" w:eastAsia="zh-CN" w:bidi="ar"/>
        </w:rPr>
        <w:t>2023年来，区发展改革委的政务公开工作在区委、区政府的正确领导下，以习近平新时代中国特色社会主义思想为指导，坚持以人民为中心的发展思想，充分发挥“倍增追赶、合作发展”的优势，推动政务公开高质量发展。</w:t>
      </w:r>
    </w:p>
    <w:p>
      <w:pPr>
        <w:pStyle w:val="2"/>
        <w:numPr>
          <w:ilvl w:val="0"/>
          <w:numId w:val="0"/>
        </w:numPr>
        <w:ind w:firstLine="672" w:firstLineChars="200"/>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spacing w:val="8"/>
          <w:kern w:val="0"/>
          <w:sz w:val="32"/>
          <w:szCs w:val="32"/>
          <w:lang w:val="en-US" w:eastAsia="zh-CN" w:bidi="ar"/>
        </w:rPr>
        <w:t>（一）强化组织领导。我委高度重视政务公开工作，严格遵守信息把关、涉密双审查等制度，深化落实信息主动公开、依申请公开等机制，及时对机关职能、机构设置、办公地址、办公时间、联系方式、负责人姓名等信息进行更新，保障信息公开工作规范性、时效性和全面性。2023年，通过政府网站公开政务信息87条，依申请公开68个。</w:t>
      </w:r>
    </w:p>
    <w:p>
      <w:pPr>
        <w:pStyle w:val="2"/>
        <w:numPr>
          <w:ilvl w:val="0"/>
          <w:numId w:val="0"/>
        </w:numPr>
        <w:ind w:firstLine="672" w:firstLineChars="200"/>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spacing w:val="8"/>
          <w:kern w:val="0"/>
          <w:sz w:val="32"/>
          <w:szCs w:val="32"/>
          <w:lang w:val="en-US" w:eastAsia="zh-CN" w:bidi="ar"/>
        </w:rPr>
        <w:t>（二）建立健全机制。将政务公开工作纳入全委2023年度工作要点清单，明确目标任务、分管领导、责任人等，委领导专题研究政务公开工作，将政务公开纳入全委年度工作考核。进一步完善政府信息发布管理制度，同时加强机关政务舆情监测、应对、引导、处置工作闭环。</w:t>
      </w:r>
    </w:p>
    <w:p>
      <w:pPr>
        <w:pStyle w:val="2"/>
        <w:numPr>
          <w:ilvl w:val="0"/>
          <w:numId w:val="0"/>
        </w:numPr>
        <w:ind w:firstLine="672" w:firstLineChars="200"/>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spacing w:val="8"/>
          <w:kern w:val="0"/>
          <w:sz w:val="32"/>
          <w:szCs w:val="32"/>
          <w:lang w:val="en-US" w:eastAsia="zh-CN" w:bidi="ar"/>
        </w:rPr>
        <w:t>（三）强化动态更新。持续做好政务信息及时公开，开展政务信息公开自查自纠，按照“谁制定谁发布谁公开”的要求，将公开审查程序前置，重点抓好重点领域信息公开、重点政策制度信息公开等工作。紧扣2023年工作重点，对国民经济和社会发展规划、专项规划、区域规划及相关政策积极进行更新，推动信息公开助力经济发展改革工作。</w:t>
      </w:r>
      <w:bookmarkStart w:id="0" w:name="_GoBack"/>
      <w:bookmarkEnd w:id="0"/>
    </w:p>
    <w:p>
      <w:pPr>
        <w:pStyle w:val="2"/>
        <w:numPr>
          <w:ilvl w:val="0"/>
          <w:numId w:val="0"/>
        </w:numPr>
        <w:ind w:firstLine="672" w:firstLineChars="200"/>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spacing w:val="8"/>
          <w:kern w:val="0"/>
          <w:sz w:val="32"/>
          <w:szCs w:val="32"/>
          <w:lang w:val="en-US" w:eastAsia="zh-CN" w:bidi="ar"/>
        </w:rPr>
        <w:t>（四）做好依申请公开。今年以来，我委不断完善政务信息依申请公开机制，多次开展委内政务依申请公开业务学习和内部培训，畅通依申请公开受理渠道，对政府信息依申请公开的办理流程进行优化调整，对业务办理进行全流程记录和跟踪，全面提升社会公众对发展改革工作依申请公开的满意度。</w:t>
      </w:r>
    </w:p>
    <w:p>
      <w:pPr>
        <w:pStyle w:val="2"/>
        <w:numPr>
          <w:ilvl w:val="0"/>
          <w:numId w:val="0"/>
        </w:numPr>
        <w:ind w:firstLine="672" w:firstLineChars="200"/>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spacing w:val="8"/>
          <w:kern w:val="0"/>
          <w:sz w:val="32"/>
          <w:szCs w:val="32"/>
          <w:lang w:val="en-US" w:eastAsia="zh-CN" w:bidi="ar"/>
        </w:rPr>
        <w:t>（五）强化学习培训。委内多次召开政务公开小组学习会议，采取以老带新的形式，对政务公开要素、范围进行了深入学习，对公开工作中普遍存在问题进行了归纳整理和答疑解惑，为全委政务信息公开工作的改进提供了有力保障。</w:t>
      </w:r>
    </w:p>
    <w:p>
      <w:pPr>
        <w:pStyle w:val="2"/>
        <w:numPr>
          <w:ilvl w:val="0"/>
          <w:numId w:val="0"/>
        </w:numPr>
        <w:ind w:firstLine="672" w:firstLineChars="200"/>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spacing w:val="8"/>
          <w:kern w:val="0"/>
          <w:sz w:val="32"/>
          <w:szCs w:val="32"/>
          <w:lang w:val="en-US" w:eastAsia="zh-CN" w:bidi="ar"/>
        </w:rPr>
        <w:t>（六）落实监督保障。今年以来，我委贯彻落实习近平新时代中国特色社会主义思想和党的二十大精神，在重大节庆、重要活动期间，认真守牢网络安全责任底线，确保信息公开平台健康有序运行，同时将政务信息公开工作情况纳入对各科室、中心效能建设考核范围，为全委政务信息公开工作的改进提升提供了有力保障。</w:t>
      </w:r>
    </w:p>
    <w:p>
      <w:pPr>
        <w:numPr>
          <w:ilvl w:val="0"/>
          <w:numId w:val="2"/>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主动公开政府信息情况</w:t>
      </w:r>
    </w:p>
    <w:p>
      <w:pPr>
        <w:pStyle w:val="3"/>
        <w:widowControl/>
      </w:pPr>
    </w:p>
    <w:p>
      <w:pPr>
        <w:pStyle w:val="3"/>
        <w:widowControl/>
      </w:pPr>
    </w:p>
    <w:tbl>
      <w:tblPr>
        <w:tblStyle w:val="7"/>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现行有效件数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cs="Calibri"/>
                <w:kern w:val="0"/>
                <w:szCs w:val="21"/>
                <w:lang w:bidi="ar"/>
              </w:rPr>
              <w:t> </w:t>
            </w: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2</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cs="Calibri"/>
                <w:kern w:val="0"/>
                <w:szCs w:val="21"/>
                <w:lang w:bidi="ar"/>
              </w:rPr>
              <w:t> </w:t>
            </w:r>
            <w:r>
              <w:rPr>
                <w:rFonts w:hint="eastAsia" w:cs="Calibri"/>
                <w:kern w:val="0"/>
                <w:szCs w:val="21"/>
                <w:lang w:val="en-US" w:eastAsia="zh-CN" w:bidi="ar"/>
              </w:rPr>
              <w:t>6</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default" w:eastAsia="宋体"/>
                <w:lang w:val="en-US" w:eastAsia="zh-CN"/>
              </w:rPr>
            </w:pPr>
            <w:r>
              <w:rPr>
                <w:rFonts w:cs="Calibri"/>
                <w:kern w:val="0"/>
                <w:szCs w:val="21"/>
                <w:lang w:bidi="ar"/>
              </w:rPr>
              <w:t> </w:t>
            </w:r>
            <w:r>
              <w:rPr>
                <w:rFonts w:hint="eastAsia" w:cs="Calibri"/>
                <w:kern w:val="0"/>
                <w:szCs w:val="21"/>
                <w:lang w:val="en-US" w:eastAsia="zh-CN" w:bidi="ar"/>
              </w:rPr>
              <w:t>106</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rPr>
                <w:rFonts w:hint="eastAsia" w:ascii="宋体" w:hAnsi="Times New Roman" w:eastAsia="宋体" w:cs="宋体"/>
                <w:sz w:val="24"/>
                <w:lang w:val="en-US" w:eastAsia="zh-CN"/>
              </w:rPr>
            </w:pPr>
            <w:r>
              <w:rPr>
                <w:rFonts w:hint="eastAsia" w:ascii="宋体" w:cs="宋体"/>
                <w:sz w:val="24"/>
                <w:lang w:val="en-US" w:eastAsia="zh-CN"/>
              </w:rPr>
              <w:t>0</w:t>
            </w:r>
          </w:p>
        </w:tc>
      </w:tr>
    </w:tbl>
    <w:p>
      <w:pPr>
        <w:pStyle w:val="3"/>
        <w:widowControl/>
      </w:pPr>
    </w:p>
    <w:p>
      <w:pPr>
        <w:pStyle w:val="3"/>
        <w:widowControl/>
      </w:pPr>
    </w:p>
    <w:p>
      <w:pPr>
        <w:pStyle w:val="3"/>
        <w:widowControl/>
      </w:pPr>
    </w:p>
    <w:p/>
    <w:p>
      <w:pPr>
        <w:pStyle w:val="2"/>
      </w:pPr>
    </w:p>
    <w:p/>
    <w:p>
      <w:pPr>
        <w:pStyle w:val="2"/>
      </w:pPr>
    </w:p>
    <w:p>
      <w:pPr>
        <w:numPr>
          <w:ilvl w:val="0"/>
          <w:numId w:val="2"/>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收到和处理政府信息公开申请情况</w:t>
      </w:r>
    </w:p>
    <w:p>
      <w:pPr>
        <w:ind w:left="629"/>
        <w:rPr>
          <w:rFonts w:hint="eastAsia" w:ascii="黑体" w:hAnsi="宋体" w:eastAsia="黑体" w:cs="黑体"/>
          <w:sz w:val="24"/>
        </w:rPr>
      </w:pPr>
    </w:p>
    <w:tbl>
      <w:tblPr>
        <w:tblStyle w:val="7"/>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766"/>
        <w:gridCol w:w="943"/>
        <w:gridCol w:w="3217"/>
        <w:gridCol w:w="691"/>
        <w:gridCol w:w="688"/>
        <w:gridCol w:w="688"/>
        <w:gridCol w:w="688"/>
        <w:gridCol w:w="688"/>
        <w:gridCol w:w="688"/>
        <w:gridCol w:w="69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restart"/>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widowControl/>
              <w:jc w:val="left"/>
            </w:pPr>
            <w:r>
              <w:rPr>
                <w:rFonts w:hint="eastAsia" w:ascii="楷体" w:hAnsi="楷体" w:eastAsia="楷体" w:cs="楷体"/>
                <w:kern w:val="0"/>
                <w:sz w:val="20"/>
                <w:szCs w:val="20"/>
                <w:lang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申请人情况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714" w:type="dxa"/>
            <w:vMerge w:val="restart"/>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自然人</w:t>
            </w:r>
          </w:p>
        </w:tc>
        <w:tc>
          <w:tcPr>
            <w:tcW w:w="3570" w:type="dxa"/>
            <w:gridSpan w:val="5"/>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法人或其他组织</w:t>
            </w:r>
          </w:p>
        </w:tc>
        <w:tc>
          <w:tcPr>
            <w:tcW w:w="714" w:type="dxa"/>
            <w:vMerge w:val="restart"/>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8" w:hRule="atLeast"/>
          <w:jc w:val="center"/>
        </w:trPr>
        <w:tc>
          <w:tcPr>
            <w:tcW w:w="5150"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714" w:type="dxa"/>
            <w:vMerge w:val="continue"/>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c>
          <w:tcPr>
            <w:tcW w:w="714"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商业</w:t>
            </w:r>
          </w:p>
          <w:p>
            <w:pPr>
              <w:widowControl/>
              <w:jc w:val="center"/>
            </w:pPr>
            <w:r>
              <w:rPr>
                <w:rFonts w:hint="eastAsia" w:ascii="宋体" w:hAnsi="宋体" w:cs="宋体"/>
                <w:kern w:val="0"/>
                <w:sz w:val="20"/>
                <w:szCs w:val="20"/>
                <w:lang w:bidi="ar"/>
              </w:rPr>
              <w:t>企业</w:t>
            </w:r>
          </w:p>
        </w:tc>
        <w:tc>
          <w:tcPr>
            <w:tcW w:w="714"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科研</w:t>
            </w:r>
          </w:p>
          <w:p>
            <w:pPr>
              <w:widowControl/>
              <w:jc w:val="center"/>
            </w:pPr>
            <w:r>
              <w:rPr>
                <w:rFonts w:hint="eastAsia" w:ascii="宋体" w:hAnsi="宋体" w:cs="宋体"/>
                <w:kern w:val="0"/>
                <w:sz w:val="20"/>
                <w:szCs w:val="20"/>
                <w:lang w:bidi="ar"/>
              </w:rPr>
              <w:t>机构</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社会公益组织</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法律服务机构</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其他</w:t>
            </w:r>
          </w:p>
        </w:tc>
        <w:tc>
          <w:tcPr>
            <w:tcW w:w="714" w:type="dxa"/>
            <w:vMerge w:val="continue"/>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一、本年新收政府信息公开申请数量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68</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3</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72</w:t>
            </w:r>
            <w:r>
              <w:rPr>
                <w:rFonts w:cs="Calibri"/>
                <w:kern w:val="0"/>
                <w:sz w:val="20"/>
                <w:szCs w:val="20"/>
                <w:lang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28" w:hRule="atLeast"/>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二、上年结转政府信息公开申请数量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2</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restart"/>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三、本年度办理结果</w:t>
            </w: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（一）予以公开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cs="Calibri"/>
                <w:kern w:val="0"/>
                <w:sz w:val="20"/>
                <w:szCs w:val="20"/>
                <w:lang w:bidi="ar"/>
              </w:rPr>
              <w:t> </w:t>
            </w:r>
            <w:r>
              <w:rPr>
                <w:rFonts w:hint="eastAsia" w:cs="Calibri"/>
                <w:kern w:val="0"/>
                <w:sz w:val="20"/>
                <w:szCs w:val="20"/>
                <w:lang w:val="en-US" w:eastAsia="zh-CN" w:bidi="ar"/>
              </w:rPr>
              <w:t>17</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1</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rPr>
                <w:rFonts w:hint="default" w:eastAsia="宋体"/>
                <w:lang w:val="en-US" w:eastAsia="zh-CN"/>
              </w:rPr>
            </w:pPr>
            <w:r>
              <w:rPr>
                <w:rFonts w:cs="Calibri"/>
                <w:kern w:val="0"/>
                <w:sz w:val="20"/>
                <w:szCs w:val="20"/>
                <w:lang w:bidi="ar"/>
              </w:rPr>
              <w:t> </w:t>
            </w:r>
            <w:r>
              <w:rPr>
                <w:rFonts w:hint="eastAsia" w:cs="Calibri"/>
                <w:kern w:val="0"/>
                <w:sz w:val="20"/>
                <w:szCs w:val="20"/>
                <w:lang w:val="en-US" w:eastAsia="zh-CN" w:bidi="ar"/>
              </w:rPr>
              <w:t>18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（二）部分公开</w:t>
            </w:r>
            <w:r>
              <w:rPr>
                <w:rFonts w:hint="eastAsia" w:ascii="楷体" w:hAnsi="楷体" w:eastAsia="楷体" w:cs="楷体"/>
                <w:kern w:val="0"/>
                <w:sz w:val="20"/>
                <w:szCs w:val="20"/>
                <w:lang w:bidi="ar"/>
              </w:rPr>
              <w:t>（区分处理的，只计这一情形，不计其他情形）</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6</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（三）不予公开</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1.属于国家秘密</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2.其他法律行政法规禁止公开</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3.危及“三安全一稳定”</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4.保护第三方合法权益</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lang w:val="en-US"/>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lang w:val="en-US"/>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lang w:val="en-US"/>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lang w:val="en-US"/>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5.属于三类内部事务信息</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6.属于四类过程性信息</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7.属于行政执法案卷</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8.属于行政查询事项</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（四）无法提供</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1.本机关不掌握相关政府信息</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41</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eastAsia="宋体"/>
                <w:lang w:val="en-US" w:eastAsia="zh-CN"/>
              </w:rPr>
            </w:pPr>
            <w:r>
              <w:rPr>
                <w:rFonts w:cs="Calibri"/>
                <w:kern w:val="0"/>
                <w:sz w:val="20"/>
                <w:szCs w:val="20"/>
                <w:lang w:bidi="ar"/>
              </w:rPr>
              <w:t> </w:t>
            </w:r>
            <w:r>
              <w:rPr>
                <w:rFonts w:hint="eastAsia" w:cs="Calibri"/>
                <w:kern w:val="0"/>
                <w:sz w:val="20"/>
                <w:szCs w:val="20"/>
                <w:lang w:val="en-US" w:eastAsia="zh-CN" w:bidi="ar"/>
              </w:rPr>
              <w:t>42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2.没有现成信息需要另行制作</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3.补正后申请内容仍不明确</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（五）不予处理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1.信访举报投诉类申请</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2.重复申请</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3</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3.要求提供公开出版物</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4.无正当理由大量反复申请</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5.要求行政机关确认或重新出具已获取信息</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（六）其他处理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1.申请人无正当理由逾期不补正、行政机关不再处理其政府信息公开申请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3.其他</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（七）总计</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cs="Calibri"/>
                <w:kern w:val="0"/>
                <w:sz w:val="20"/>
                <w:szCs w:val="20"/>
                <w:lang w:bidi="ar"/>
              </w:rPr>
              <w:t> </w:t>
            </w:r>
            <w:r>
              <w:rPr>
                <w:rFonts w:hint="eastAsia" w:cs="Calibri"/>
                <w:kern w:val="0"/>
                <w:sz w:val="20"/>
                <w:szCs w:val="20"/>
                <w:lang w:val="en-US" w:eastAsia="zh-CN" w:bidi="ar"/>
              </w:rPr>
              <w:t>67</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1</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eastAsia="宋体"/>
                <w:lang w:val="en-US" w:eastAsia="zh-CN"/>
              </w:rPr>
            </w:pPr>
            <w:r>
              <w:rPr>
                <w:rFonts w:cs="Calibri"/>
                <w:kern w:val="0"/>
                <w:sz w:val="20"/>
                <w:szCs w:val="20"/>
                <w:lang w:bidi="ar"/>
              </w:rPr>
              <w:t> </w:t>
            </w:r>
            <w:r>
              <w:rPr>
                <w:rFonts w:hint="eastAsia" w:cs="Calibri"/>
                <w:kern w:val="0"/>
                <w:sz w:val="20"/>
                <w:szCs w:val="20"/>
                <w:lang w:val="en-US" w:eastAsia="zh-CN" w:bidi="ar"/>
              </w:rPr>
              <w:t>69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single" w:color="auto" w:sz="0" w:space="0"/>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四、结转下年度继续办理</w:t>
            </w:r>
          </w:p>
        </w:tc>
        <w:tc>
          <w:tcPr>
            <w:tcW w:w="0" w:type="auto"/>
            <w:tcBorders>
              <w:top w:val="inset" w:color="auto" w:sz="6" w:space="0"/>
              <w:left w:val="single" w:color="auto" w:sz="0" w:space="0"/>
              <w:bottom w:val="inset" w:color="auto" w:sz="6" w:space="0"/>
              <w:right w:val="inset" w:color="auto" w:sz="6" w:space="0"/>
            </w:tcBorders>
            <w:noWrap w:val="0"/>
            <w:vAlign w:val="center"/>
          </w:tcPr>
          <w:p>
            <w:pPr>
              <w:rPr>
                <w:rFonts w:hint="eastAsia" w:ascii="宋体" w:hAnsi="Times New Roman" w:eastAsia="宋体" w:cs="宋体"/>
                <w:sz w:val="24"/>
                <w:lang w:val="en-US" w:eastAsia="zh-CN"/>
              </w:rPr>
            </w:pPr>
            <w:r>
              <w:rPr>
                <w:rFonts w:hint="eastAsia" w:ascii="宋体" w:cs="宋体"/>
                <w:sz w:val="24"/>
                <w:lang w:val="en-US" w:eastAsia="zh-CN"/>
              </w:rPr>
              <w:t>3</w:t>
            </w:r>
          </w:p>
        </w:tc>
        <w:tc>
          <w:tcPr>
            <w:tcW w:w="0" w:type="auto"/>
            <w:tcBorders>
              <w:top w:val="inset" w:color="auto" w:sz="6" w:space="0"/>
              <w:left w:val="single" w:color="auto" w:sz="0" w:space="0"/>
              <w:bottom w:val="inset" w:color="auto" w:sz="6" w:space="0"/>
              <w:right w:val="inset" w:color="auto" w:sz="6" w:space="0"/>
            </w:tcBorders>
            <w:noWrap w:val="0"/>
            <w:vAlign w:val="center"/>
          </w:tcPr>
          <w:p>
            <w:pPr>
              <w:rPr>
                <w:rFonts w:hint="eastAsia" w:ascii="宋体" w:hAnsi="Times New Roman" w:eastAsia="宋体" w:cs="宋体"/>
                <w:sz w:val="24"/>
                <w:lang w:val="en-US" w:eastAsia="zh-CN"/>
              </w:rPr>
            </w:pPr>
            <w:r>
              <w:rPr>
                <w:rFonts w:hint="eastAsia" w:ascii="宋体" w:cs="宋体"/>
                <w:sz w:val="24"/>
                <w:lang w:val="en-US" w:eastAsia="zh-CN"/>
              </w:rPr>
              <w:t>2</w:t>
            </w:r>
          </w:p>
        </w:tc>
        <w:tc>
          <w:tcPr>
            <w:tcW w:w="0" w:type="auto"/>
            <w:tcBorders>
              <w:top w:val="inset" w:color="auto" w:sz="6" w:space="0"/>
              <w:left w:val="single" w:color="auto" w:sz="0" w:space="0"/>
              <w:bottom w:val="inset" w:color="auto" w:sz="6" w:space="0"/>
              <w:right w:val="inset" w:color="auto" w:sz="6" w:space="0"/>
            </w:tcBorders>
            <w:noWrap w:val="0"/>
            <w:vAlign w:val="center"/>
          </w:tcPr>
          <w:p>
            <w:pPr>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rPr>
                <w:rFonts w:hint="eastAsia" w:ascii="宋体" w:hAnsi="Times New Roman" w:eastAsia="宋体" w:cs="宋体"/>
                <w:sz w:val="24"/>
                <w:lang w:val="en-US" w:eastAsia="zh-CN"/>
              </w:rPr>
            </w:pPr>
            <w:r>
              <w:rPr>
                <w:rFonts w:hint="eastAsia" w:ascii="宋体" w:cs="宋体"/>
                <w:sz w:val="24"/>
                <w:lang w:val="en-US" w:eastAsia="zh-CN"/>
              </w:rPr>
              <w:t>5</w:t>
            </w:r>
          </w:p>
        </w:tc>
      </w:tr>
    </w:tbl>
    <w:p>
      <w:pPr>
        <w:pStyle w:val="3"/>
        <w:widowControl/>
        <w:ind w:left="420" w:leftChars="200"/>
      </w:pPr>
    </w:p>
    <w:p>
      <w:pPr>
        <w:pStyle w:val="3"/>
        <w:widowControl/>
        <w:ind w:left="420" w:leftChars="200"/>
      </w:pPr>
    </w:p>
    <w:p/>
    <w:p>
      <w:pPr>
        <w:pStyle w:val="2"/>
      </w:pPr>
    </w:p>
    <w:p/>
    <w:p>
      <w:pPr>
        <w:spacing w:line="560" w:lineRule="exact"/>
        <w:ind w:firstLine="640" w:firstLineChars="200"/>
        <w:rPr>
          <w:rFonts w:hint="eastAsia" w:ascii="黑体" w:hAnsi="宋体" w:eastAsia="黑体" w:cs="黑体"/>
          <w:sz w:val="32"/>
          <w:szCs w:val="32"/>
        </w:rPr>
      </w:pPr>
      <w:r>
        <w:rPr>
          <w:rFonts w:hint="eastAsia" w:ascii="黑体" w:hAnsi="宋体" w:eastAsia="黑体" w:cs="黑体"/>
          <w:sz w:val="32"/>
          <w:szCs w:val="32"/>
          <w:lang w:bidi="ar"/>
        </w:rPr>
        <w:t>四、政府信息公开行政复议、行政诉讼情况</w:t>
      </w:r>
    </w:p>
    <w:p>
      <w:pPr>
        <w:widowControl/>
        <w:jc w:val="center"/>
      </w:pPr>
    </w:p>
    <w:tbl>
      <w:tblPr>
        <w:tblStyle w:val="7"/>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hAnsi="Times New Roman" w:cs="宋体"/>
                <w:sz w:val="24"/>
              </w:rPr>
            </w:pPr>
            <w:r>
              <w:rPr>
                <w:rFonts w:hint="eastAsia" w:ascii="黑体" w:hAnsi="宋体" w:eastAsia="黑体" w:cs="黑体"/>
                <w:kern w:val="0"/>
                <w:sz w:val="20"/>
                <w:szCs w:val="20"/>
                <w:lang w:val="en-US" w:eastAsia="zh-CN" w:bidi="ar"/>
              </w:rPr>
              <w:t>0</w:t>
            </w:r>
          </w:p>
        </w:tc>
      </w:tr>
    </w:tbl>
    <w:p>
      <w:pPr>
        <w:widowControl/>
        <w:jc w:val="left"/>
      </w:pPr>
    </w:p>
    <w:p>
      <w:pPr>
        <w:widowControl/>
        <w:spacing w:line="560" w:lineRule="exact"/>
        <w:ind w:firstLine="672" w:firstLineChars="200"/>
        <w:jc w:val="left"/>
        <w:rPr>
          <w:rFonts w:hint="eastAsia" w:ascii="宋体" w:hAnsi="宋体" w:cs="宋体"/>
          <w:spacing w:val="8"/>
          <w:kern w:val="0"/>
          <w:sz w:val="24"/>
        </w:rPr>
      </w:pPr>
      <w:r>
        <w:rPr>
          <w:rFonts w:hint="eastAsia" w:ascii="黑体" w:hAnsi="宋体" w:eastAsia="黑体" w:cs="宋体"/>
          <w:spacing w:val="8"/>
          <w:kern w:val="0"/>
          <w:sz w:val="32"/>
          <w:szCs w:val="32"/>
          <w:lang w:bidi="ar"/>
        </w:rPr>
        <w:t>五、存在的主要问题及改进情况</w:t>
      </w:r>
    </w:p>
    <w:p>
      <w:pPr>
        <w:widowControl/>
        <w:spacing w:line="560" w:lineRule="exact"/>
        <w:ind w:firstLine="672" w:firstLineChars="200"/>
        <w:jc w:val="left"/>
        <w:rPr>
          <w:rFonts w:hint="eastAsia" w:ascii="仿宋_GB2312" w:hAnsi="宋体" w:eastAsia="仿宋_GB2312" w:cs="宋体"/>
          <w:spacing w:val="8"/>
          <w:kern w:val="0"/>
          <w:sz w:val="32"/>
          <w:szCs w:val="32"/>
          <w:lang w:eastAsia="zh-CN" w:bidi="ar"/>
        </w:rPr>
      </w:pPr>
      <w:r>
        <w:rPr>
          <w:rFonts w:hint="eastAsia" w:ascii="仿宋_GB2312" w:hAnsi="宋体" w:eastAsia="仿宋_GB2312" w:cs="宋体"/>
          <w:spacing w:val="8"/>
          <w:kern w:val="0"/>
          <w:sz w:val="32"/>
          <w:szCs w:val="32"/>
          <w:lang w:eastAsia="zh-CN" w:bidi="ar"/>
        </w:rPr>
        <w:t>今年以来，我</w:t>
      </w:r>
      <w:r>
        <w:rPr>
          <w:rFonts w:hint="eastAsia" w:ascii="仿宋_GB2312" w:hAnsi="宋体" w:eastAsia="仿宋_GB2312" w:cs="宋体"/>
          <w:spacing w:val="8"/>
          <w:kern w:val="0"/>
          <w:sz w:val="32"/>
          <w:szCs w:val="32"/>
          <w:lang w:val="en-US" w:eastAsia="zh-CN" w:bidi="ar"/>
        </w:rPr>
        <w:t>委</w:t>
      </w:r>
      <w:r>
        <w:rPr>
          <w:rFonts w:hint="eastAsia" w:ascii="仿宋_GB2312" w:hAnsi="宋体" w:eastAsia="仿宋_GB2312" w:cs="宋体"/>
          <w:spacing w:val="8"/>
          <w:kern w:val="0"/>
          <w:sz w:val="32"/>
          <w:szCs w:val="32"/>
          <w:lang w:eastAsia="zh-CN" w:bidi="ar"/>
        </w:rPr>
        <w:t>政务信息公开整体情况趋于稳定，同时我们也深刻认识到，政务公开仍存在许多不足之处，主要表现在以下方面：</w:t>
      </w:r>
      <w:r>
        <w:rPr>
          <w:rFonts w:hint="eastAsia" w:ascii="仿宋_GB2312" w:hAnsi="宋体" w:eastAsia="仿宋_GB2312" w:cs="宋体"/>
          <w:spacing w:val="8"/>
          <w:kern w:val="0"/>
          <w:sz w:val="32"/>
          <w:szCs w:val="32"/>
          <w:lang w:val="en-US" w:eastAsia="zh-CN" w:bidi="ar"/>
        </w:rPr>
        <w:t>一是</w:t>
      </w:r>
      <w:r>
        <w:rPr>
          <w:rFonts w:hint="eastAsia" w:ascii="仿宋_GB2312" w:hAnsi="宋体" w:eastAsia="仿宋_GB2312" w:cs="宋体"/>
          <w:spacing w:val="8"/>
          <w:kern w:val="0"/>
          <w:sz w:val="32"/>
          <w:szCs w:val="32"/>
          <w:lang w:eastAsia="zh-CN" w:bidi="ar"/>
        </w:rPr>
        <w:t>信息公开程度不足，一些重要的决策、规划、政策等信息未能及时、全面、准确地公开；</w:t>
      </w:r>
      <w:r>
        <w:rPr>
          <w:rFonts w:hint="eastAsia" w:ascii="仿宋_GB2312" w:hAnsi="宋体" w:eastAsia="仿宋_GB2312" w:cs="宋体"/>
          <w:spacing w:val="8"/>
          <w:kern w:val="0"/>
          <w:sz w:val="32"/>
          <w:szCs w:val="32"/>
          <w:lang w:val="en-US" w:eastAsia="zh-CN" w:bidi="ar"/>
        </w:rPr>
        <w:t>二是</w:t>
      </w:r>
      <w:r>
        <w:rPr>
          <w:rFonts w:hint="eastAsia" w:ascii="仿宋_GB2312" w:hAnsi="宋体" w:eastAsia="仿宋_GB2312" w:cs="宋体"/>
          <w:spacing w:val="8"/>
          <w:kern w:val="0"/>
          <w:sz w:val="32"/>
          <w:szCs w:val="32"/>
          <w:lang w:eastAsia="zh-CN" w:bidi="ar"/>
        </w:rPr>
        <w:t>信息公开渠道有限，一些公众对政务信息的获取能力有限，也影响了其对我委工作的监督和参与。</w:t>
      </w:r>
    </w:p>
    <w:p>
      <w:pPr>
        <w:widowControl/>
        <w:spacing w:line="560" w:lineRule="exact"/>
        <w:ind w:firstLine="672" w:firstLineChars="200"/>
        <w:jc w:val="left"/>
        <w:rPr>
          <w:rFonts w:hint="eastAsia" w:ascii="仿宋_GB2312" w:hAnsi="宋体" w:eastAsia="仿宋_GB2312" w:cs="宋体"/>
          <w:spacing w:val="8"/>
          <w:kern w:val="0"/>
          <w:sz w:val="32"/>
          <w:szCs w:val="32"/>
          <w:lang w:eastAsia="zh-CN" w:bidi="ar"/>
        </w:rPr>
      </w:pPr>
      <w:r>
        <w:rPr>
          <w:rFonts w:hint="eastAsia" w:ascii="仿宋_GB2312" w:hAnsi="宋体" w:eastAsia="仿宋_GB2312" w:cs="宋体"/>
          <w:spacing w:val="8"/>
          <w:kern w:val="0"/>
          <w:sz w:val="32"/>
          <w:szCs w:val="32"/>
          <w:lang w:eastAsia="zh-CN" w:bidi="ar"/>
        </w:rPr>
        <w:t>为了解决这些问题，我委需要进一步加强信息公开工作，提高信息公开的及时性、全面性和准确性，同时拓宽信息公开的渠道，加强与公众的互动和沟通，增强公众对发改委工作的了解和信任。</w:t>
      </w:r>
    </w:p>
    <w:p>
      <w:pPr>
        <w:widowControl/>
        <w:spacing w:line="560" w:lineRule="exact"/>
        <w:ind w:firstLine="675"/>
        <w:jc w:val="left"/>
        <w:rPr>
          <w:rFonts w:hint="eastAsia" w:ascii="宋体" w:hAnsi="宋体" w:cs="宋体"/>
          <w:spacing w:val="8"/>
          <w:kern w:val="0"/>
          <w:sz w:val="32"/>
          <w:szCs w:val="32"/>
        </w:rPr>
      </w:pPr>
      <w:r>
        <w:rPr>
          <w:rFonts w:hint="eastAsia" w:ascii="黑体" w:hAnsi="宋体" w:eastAsia="黑体" w:cs="宋体"/>
          <w:spacing w:val="8"/>
          <w:kern w:val="0"/>
          <w:sz w:val="32"/>
          <w:szCs w:val="32"/>
          <w:lang w:bidi="ar"/>
        </w:rPr>
        <w:t>六、其他需要报告的事项</w:t>
      </w:r>
    </w:p>
    <w:p>
      <w:pPr>
        <w:widowControl/>
        <w:spacing w:line="560" w:lineRule="exact"/>
        <w:jc w:val="left"/>
        <w:rPr>
          <w:rFonts w:hint="eastAsia" w:ascii="仿宋_GB2312" w:hAnsi="宋体" w:eastAsia="仿宋_GB2312" w:cs="宋体"/>
          <w:color w:val="9BC2E6"/>
          <w:spacing w:val="8"/>
          <w:kern w:val="0"/>
          <w:sz w:val="32"/>
          <w:szCs w:val="32"/>
        </w:rPr>
      </w:pPr>
      <w:r>
        <w:rPr>
          <w:rFonts w:hint="eastAsia" w:ascii="宋体" w:hAnsi="宋体" w:cs="宋体"/>
          <w:spacing w:val="8"/>
          <w:kern w:val="0"/>
          <w:sz w:val="32"/>
          <w:szCs w:val="32"/>
          <w:lang w:bidi="ar"/>
        </w:rPr>
        <w:t>　　</w:t>
      </w:r>
      <w:r>
        <w:rPr>
          <w:rFonts w:hint="eastAsia" w:ascii="仿宋_GB2312" w:hAnsi="宋体" w:eastAsia="仿宋_GB2312" w:cs="宋体"/>
          <w:spacing w:val="8"/>
          <w:kern w:val="0"/>
          <w:sz w:val="32"/>
          <w:szCs w:val="32"/>
          <w:lang w:eastAsia="zh-CN" w:bidi="ar"/>
        </w:rPr>
        <w:t>发出收费通知的件数和总金额以及实际收取的总金额均为0。</w:t>
      </w:r>
    </w:p>
    <w:p>
      <w:pPr>
        <w:pStyle w:val="3"/>
        <w:widowControl/>
        <w:spacing w:line="560" w:lineRule="exact"/>
      </w:pPr>
      <w:r>
        <w:rPr>
          <w:rFonts w:ascii="微软雅黑" w:hAnsi="微软雅黑" w:eastAsia="微软雅黑" w:cs="宋体"/>
          <w:color w:val="404040"/>
          <w:kern w:val="0"/>
          <w:sz w:val="32"/>
          <w:szCs w:val="32"/>
        </w:rPr>
        <w:t xml:space="preserve"> </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F661A6"/>
    <w:multiLevelType w:val="singleLevel"/>
    <w:tmpl w:val="90F661A6"/>
    <w:lvl w:ilvl="0" w:tentative="0">
      <w:start w:val="1"/>
      <w:numFmt w:val="chineseCounting"/>
      <w:suff w:val="nothing"/>
      <w:lvlText w:val="%1、"/>
      <w:lvlJc w:val="left"/>
      <w:rPr>
        <w:rFonts w:hint="eastAsia"/>
      </w:rPr>
    </w:lvl>
  </w:abstractNum>
  <w:abstractNum w:abstractNumId="1">
    <w:nsid w:val="BA9DE897"/>
    <w:multiLevelType w:val="multilevel"/>
    <w:tmpl w:val="BA9DE897"/>
    <w:lvl w:ilvl="0" w:tentative="0">
      <w:start w:val="2"/>
      <w:numFmt w:val="chineseCounting"/>
      <w:suff w:val="nothing"/>
      <w:lvlText w:val="%1、"/>
      <w:lvlJc w:val="left"/>
      <w:pPr>
        <w:ind w:left="-1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B5B6E2A"/>
    <w:rsid w:val="031175A2"/>
    <w:rsid w:val="0B5B6E2A"/>
    <w:rsid w:val="667D7B65"/>
    <w:rsid w:val="67AA5403"/>
    <w:rsid w:val="6F67A8D7"/>
    <w:rsid w:val="F6FBE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3"/>
    <w:basedOn w:val="1"/>
    <w:next w:val="1"/>
    <w:autoRedefine/>
    <w:unhideWhenUsed/>
    <w:qFormat/>
    <w:uiPriority w:val="39"/>
    <w:pPr>
      <w:ind w:left="840" w:leftChars="400"/>
    </w:pPr>
  </w:style>
  <w:style w:type="paragraph" w:styleId="3">
    <w:name w:val="Plain Text"/>
    <w:basedOn w:val="1"/>
    <w:next w:val="1"/>
    <w:qFormat/>
    <w:uiPriority w:val="0"/>
    <w:rPr>
      <w:rFonts w:ascii="宋体" w:hAnsi="Courier New"/>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2024-01-03T02:18:00Z</dcterms:created>
  <dc:creator>Ren$hiro</dc:creator>
  <cp:lastModifiedBy>叶家祥</cp:lastModifiedBy>
  <dcterms:modified xsi:type="dcterms:W3CDTF">2024-01-26T12:03:06Z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92481447AD614512BCDEF4175DDE2339_13</vt:lpwstr>
  </property>
</Properties>
</file>