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Calibri" w:eastAsia="仿宋_GB2312" w:cs="Times New Roman"/>
          <w:bCs/>
          <w:sz w:val="32"/>
          <w:szCs w:val="22"/>
          <w:lang w:eastAsia="zh-CN"/>
        </w:rPr>
      </w:pPr>
    </w:p>
    <w:p>
      <w:pPr>
        <w:jc w:val="center"/>
        <w:rPr>
          <w:rFonts w:hint="eastAsia" w:ascii="仿宋_GB2312" w:hAnsi="Calibri" w:eastAsia="仿宋_GB2312" w:cs="Times New Roman"/>
          <w:bCs/>
          <w:sz w:val="32"/>
          <w:szCs w:val="22"/>
          <w:lang w:eastAsia="zh-CN"/>
        </w:rPr>
      </w:pPr>
    </w:p>
    <w:p>
      <w:pPr>
        <w:jc w:val="center"/>
        <w:rPr>
          <w:rFonts w:hint="eastAsia" w:ascii="仿宋_GB2312" w:hAnsi="Calibri" w:eastAsia="仿宋_GB2312" w:cs="Times New Roman"/>
          <w:bCs/>
          <w:sz w:val="32"/>
          <w:szCs w:val="2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lang w:eastAsia="zh-CN"/>
        </w:rPr>
        <w:t>北京市</w:t>
      </w:r>
      <w:r>
        <w:rPr>
          <w:rFonts w:hint="eastAsia" w:ascii="方正小标宋_GBK" w:hAnsi="宋体" w:eastAsia="方正小标宋_GBK" w:cs="宋体"/>
          <w:kern w:val="0"/>
          <w:sz w:val="44"/>
          <w:szCs w:val="44"/>
        </w:rPr>
        <w:t>丰台区科学技术和信息化局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32"/>
          <w:szCs w:val="32"/>
        </w:rPr>
      </w:pPr>
      <w:r>
        <w:rPr>
          <w:rFonts w:hint="eastAsia" w:ascii="方正小标宋_GBK" w:hAnsi="宋体" w:eastAsia="方正小标宋_GBK" w:cs="宋体"/>
          <w:kern w:val="0"/>
          <w:sz w:val="44"/>
          <w:szCs w:val="44"/>
        </w:rPr>
        <w:t>2019年政府信息公开工作年度报告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依据《中华人民共和国政府信息公开条例》第五十条之规定，制作本报告。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333333"/>
          <w:kern w:val="0"/>
          <w:sz w:val="32"/>
          <w:szCs w:val="32"/>
        </w:rPr>
      </w:pPr>
      <w:r>
        <w:rPr>
          <w:rFonts w:hint="eastAsia" w:ascii="黑体" w:hAnsi="黑体" w:eastAsia="黑体" w:cs="黑体"/>
          <w:color w:val="333333"/>
          <w:kern w:val="0"/>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333333"/>
          <w:kern w:val="0"/>
          <w:sz w:val="32"/>
          <w:szCs w:val="32"/>
        </w:rPr>
      </w:pPr>
      <w:r>
        <w:rPr>
          <w:rFonts w:hint="eastAsia" w:ascii="楷体_GB2312" w:hAnsi="楷体_GB2312" w:eastAsia="楷体_GB2312" w:cs="楷体_GB2312"/>
          <w:b w:val="0"/>
          <w:bCs w:val="0"/>
          <w:color w:val="333333"/>
          <w:kern w:val="0"/>
          <w:sz w:val="32"/>
          <w:szCs w:val="32"/>
          <w:lang w:val="en-US" w:eastAsia="zh-CN"/>
        </w:rPr>
        <w:t>1.</w:t>
      </w:r>
      <w:r>
        <w:rPr>
          <w:rFonts w:hint="eastAsia" w:ascii="楷体_GB2312" w:hAnsi="楷体_GB2312" w:eastAsia="楷体_GB2312" w:cs="楷体_GB2312"/>
          <w:b w:val="0"/>
          <w:bCs w:val="0"/>
          <w:color w:val="333333"/>
          <w:kern w:val="0"/>
          <w:sz w:val="32"/>
          <w:szCs w:val="32"/>
        </w:rPr>
        <w:t>主动公开情况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333333"/>
          <w:kern w:val="0"/>
          <w:sz w:val="32"/>
          <w:szCs w:val="32"/>
          <w:lang w:eastAsia="zh-CN"/>
        </w:rPr>
      </w:pPr>
      <w:r>
        <w:rPr>
          <w:rFonts w:hint="eastAsia" w:ascii="仿宋_GB2312" w:hAnsi="宋体" w:eastAsia="仿宋_GB2312" w:cs="宋体"/>
          <w:color w:val="333333"/>
          <w:kern w:val="0"/>
          <w:sz w:val="32"/>
          <w:szCs w:val="32"/>
          <w:lang w:val="en-US" w:eastAsia="zh-CN"/>
        </w:rPr>
        <w:t>2019年，北京市丰台区科学技术和信息化局累计</w:t>
      </w:r>
      <w:r>
        <w:rPr>
          <w:rFonts w:hint="eastAsia" w:ascii="仿宋_GB2312" w:hAnsi="宋体" w:eastAsia="仿宋_GB2312" w:cs="宋体"/>
          <w:color w:val="333333"/>
          <w:kern w:val="0"/>
          <w:sz w:val="32"/>
          <w:szCs w:val="32"/>
        </w:rPr>
        <w:t>主动公开信息162条，其中，机构职能类12条，占比7.41%，法规文件类2条，占比1.23%</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规划计划类16条，占比9.88%，行政职责类2条，占比1.23%，业务动态类130条，占比80.25%</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“丰台V科技”官方微信共发布信息</w:t>
      </w:r>
      <w:r>
        <w:rPr>
          <w:rFonts w:hint="eastAsia" w:ascii="仿宋_GB2312" w:hAnsi="宋体" w:eastAsia="仿宋_GB2312" w:cs="宋体"/>
          <w:color w:val="auto"/>
          <w:kern w:val="0"/>
          <w:sz w:val="32"/>
          <w:szCs w:val="32"/>
          <w:lang w:val="en-US" w:eastAsia="zh-CN"/>
        </w:rPr>
        <w:t>233</w:t>
      </w:r>
      <w:r>
        <w:rPr>
          <w:rFonts w:hint="eastAsia" w:ascii="仿宋_GB2312" w:hAnsi="宋体" w:eastAsia="仿宋_GB2312" w:cs="宋体"/>
          <w:color w:val="333333"/>
          <w:kern w:val="0"/>
          <w:sz w:val="32"/>
          <w:szCs w:val="32"/>
        </w:rPr>
        <w:t>条</w:t>
      </w:r>
      <w:r>
        <w:rPr>
          <w:rFonts w:hint="eastAsia" w:ascii="仿宋_GB2312" w:hAnsi="宋体" w:eastAsia="仿宋_GB2312" w:cs="宋体"/>
          <w:color w:val="333333"/>
          <w:kern w:val="0"/>
          <w:sz w:val="32"/>
          <w:szCs w:val="32"/>
          <w:lang w:val="en-US" w:eastAsia="zh-CN"/>
        </w:rPr>
        <w:t>,原创采访42篇。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333333"/>
          <w:kern w:val="0"/>
          <w:sz w:val="32"/>
          <w:szCs w:val="32"/>
        </w:rPr>
      </w:pPr>
      <w:r>
        <w:rPr>
          <w:rFonts w:hint="eastAsia" w:ascii="楷体_GB2312" w:hAnsi="楷体_GB2312" w:eastAsia="楷体_GB2312" w:cs="楷体_GB2312"/>
          <w:color w:val="333333"/>
          <w:kern w:val="0"/>
          <w:sz w:val="32"/>
          <w:szCs w:val="32"/>
          <w:lang w:val="en-US" w:eastAsia="zh-CN"/>
        </w:rPr>
        <w:t>2.</w:t>
      </w:r>
      <w:r>
        <w:rPr>
          <w:rFonts w:hint="eastAsia" w:ascii="楷体_GB2312" w:hAnsi="楷体_GB2312" w:eastAsia="楷体_GB2312" w:cs="楷体_GB2312"/>
          <w:color w:val="333333"/>
          <w:kern w:val="0"/>
          <w:sz w:val="32"/>
          <w:szCs w:val="32"/>
        </w:rPr>
        <w:t>依申请公开办理情况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2019年，北京市丰台区科学技术和信息化局共受理依申请公开1件，信息公开申请人为自然人，按照《中华人民共和国政府信息公开条例》依申请公开流程和要求，已依法予以答复。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333333"/>
          <w:kern w:val="0"/>
          <w:sz w:val="32"/>
          <w:szCs w:val="32"/>
        </w:rPr>
      </w:pPr>
      <w:r>
        <w:rPr>
          <w:rFonts w:hint="eastAsia" w:ascii="楷体_GB2312" w:hAnsi="楷体_GB2312" w:eastAsia="楷体_GB2312" w:cs="楷体_GB2312"/>
          <w:color w:val="333333"/>
          <w:kern w:val="0"/>
          <w:sz w:val="32"/>
          <w:szCs w:val="32"/>
          <w:lang w:val="en-US" w:eastAsia="zh-CN"/>
        </w:rPr>
        <w:t>3.</w:t>
      </w:r>
      <w:r>
        <w:rPr>
          <w:rFonts w:hint="eastAsia" w:ascii="楷体_GB2312" w:hAnsi="楷体_GB2312" w:eastAsia="楷体_GB2312" w:cs="楷体_GB2312"/>
          <w:color w:val="333333"/>
          <w:kern w:val="0"/>
          <w:sz w:val="32"/>
          <w:szCs w:val="32"/>
        </w:rPr>
        <w:t>政府信息资源的规范化、标准化管理情况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我局</w:t>
      </w:r>
      <w:r>
        <w:rPr>
          <w:rFonts w:hint="eastAsia" w:ascii="仿宋_GB2312" w:hAnsi="宋体" w:eastAsia="仿宋_GB2312" w:cs="宋体"/>
          <w:color w:val="333333"/>
          <w:kern w:val="0"/>
          <w:sz w:val="32"/>
          <w:szCs w:val="32"/>
        </w:rPr>
        <w:t>严格落实信息公开</w:t>
      </w:r>
      <w:r>
        <w:rPr>
          <w:rFonts w:hint="eastAsia" w:ascii="仿宋_GB2312" w:hAnsi="宋体" w:eastAsia="仿宋_GB2312" w:cs="宋体"/>
          <w:color w:val="333333"/>
          <w:kern w:val="0"/>
          <w:sz w:val="32"/>
          <w:szCs w:val="32"/>
          <w:lang w:eastAsia="zh-CN"/>
        </w:rPr>
        <w:t>工作</w:t>
      </w:r>
      <w:r>
        <w:rPr>
          <w:rFonts w:hint="eastAsia" w:ascii="仿宋_GB2312" w:hAnsi="宋体" w:eastAsia="仿宋_GB2312" w:cs="宋体"/>
          <w:color w:val="333333"/>
          <w:kern w:val="0"/>
          <w:sz w:val="32"/>
          <w:szCs w:val="32"/>
        </w:rPr>
        <w:t>的</w:t>
      </w:r>
      <w:r>
        <w:rPr>
          <w:rFonts w:hint="eastAsia" w:ascii="仿宋_GB2312" w:hAnsi="宋体" w:eastAsia="仿宋_GB2312" w:cs="宋体"/>
          <w:color w:val="333333"/>
          <w:kern w:val="0"/>
          <w:sz w:val="32"/>
          <w:szCs w:val="32"/>
          <w:lang w:eastAsia="zh-CN"/>
        </w:rPr>
        <w:t>各项规定和要求，狠抓工作的流程</w:t>
      </w:r>
      <w:r>
        <w:rPr>
          <w:rFonts w:hint="eastAsia" w:ascii="仿宋_GB2312" w:hAnsi="宋体" w:eastAsia="仿宋_GB2312" w:cs="宋体"/>
          <w:color w:val="333333"/>
          <w:kern w:val="0"/>
          <w:sz w:val="32"/>
          <w:szCs w:val="32"/>
        </w:rPr>
        <w:t>和</w:t>
      </w:r>
      <w:r>
        <w:rPr>
          <w:rFonts w:hint="eastAsia" w:ascii="仿宋_GB2312" w:hAnsi="宋体" w:eastAsia="仿宋_GB2312" w:cs="宋体"/>
          <w:color w:val="333333"/>
          <w:kern w:val="0"/>
          <w:sz w:val="32"/>
          <w:szCs w:val="32"/>
          <w:lang w:eastAsia="zh-CN"/>
        </w:rPr>
        <w:t>审批环节</w:t>
      </w:r>
      <w:r>
        <w:rPr>
          <w:rFonts w:hint="eastAsia" w:ascii="仿宋_GB2312" w:hAnsi="宋体" w:eastAsia="仿宋_GB2312" w:cs="宋体"/>
          <w:color w:val="333333"/>
          <w:kern w:val="0"/>
          <w:sz w:val="32"/>
          <w:szCs w:val="32"/>
        </w:rPr>
        <w:t>，</w:t>
      </w:r>
      <w:r>
        <w:rPr>
          <w:rFonts w:hint="eastAsia" w:ascii="仿宋_GB2312" w:hAnsi="宋体" w:eastAsia="仿宋_GB2312" w:cs="宋体"/>
          <w:color w:val="333333"/>
          <w:kern w:val="0"/>
          <w:sz w:val="32"/>
          <w:szCs w:val="32"/>
          <w:lang w:eastAsia="zh-CN"/>
        </w:rPr>
        <w:t>凡是需要公开的信息，责任</w:t>
      </w:r>
      <w:r>
        <w:rPr>
          <w:rFonts w:hint="eastAsia" w:ascii="仿宋_GB2312" w:hAnsi="宋体" w:eastAsia="仿宋_GB2312" w:cs="宋体"/>
          <w:color w:val="333333"/>
          <w:kern w:val="0"/>
          <w:sz w:val="32"/>
          <w:szCs w:val="32"/>
        </w:rPr>
        <w:t>科室负责人、主管领导</w:t>
      </w:r>
      <w:r>
        <w:rPr>
          <w:rFonts w:hint="eastAsia" w:ascii="仿宋_GB2312" w:hAnsi="宋体" w:eastAsia="仿宋_GB2312" w:cs="宋体"/>
          <w:color w:val="333333"/>
          <w:kern w:val="0"/>
          <w:sz w:val="32"/>
          <w:szCs w:val="32"/>
          <w:lang w:eastAsia="zh-CN"/>
        </w:rPr>
        <w:t>层层把关、校对审核，按照公文签批的规定进行办理和发布，切实增强信息公开工作的引导力和公信力</w:t>
      </w:r>
      <w:r>
        <w:rPr>
          <w:rFonts w:hint="eastAsia" w:ascii="仿宋_GB2312" w:hAnsi="宋体" w:eastAsia="仿宋_GB2312" w:cs="宋体"/>
          <w:color w:val="333333"/>
          <w:kern w:val="0"/>
          <w:sz w:val="32"/>
          <w:szCs w:val="32"/>
        </w:rPr>
        <w:t>，使信息公开工作</w:t>
      </w:r>
      <w:r>
        <w:rPr>
          <w:rFonts w:hint="eastAsia" w:ascii="仿宋_GB2312" w:hAnsi="宋体" w:eastAsia="仿宋_GB2312" w:cs="宋体"/>
          <w:color w:val="333333"/>
          <w:kern w:val="0"/>
          <w:sz w:val="32"/>
          <w:szCs w:val="32"/>
          <w:lang w:eastAsia="zh-CN"/>
        </w:rPr>
        <w:t>更加</w:t>
      </w:r>
      <w:r>
        <w:rPr>
          <w:rFonts w:hint="eastAsia" w:ascii="仿宋_GB2312" w:hAnsi="宋体" w:eastAsia="仿宋_GB2312" w:cs="宋体"/>
          <w:color w:val="333333"/>
          <w:kern w:val="0"/>
          <w:sz w:val="32"/>
          <w:szCs w:val="32"/>
        </w:rPr>
        <w:t>科学规范、严谨细致，确保信息资源的规范化、标准化。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333333"/>
          <w:kern w:val="0"/>
          <w:sz w:val="32"/>
          <w:szCs w:val="32"/>
        </w:rPr>
      </w:pPr>
      <w:r>
        <w:rPr>
          <w:rFonts w:hint="eastAsia" w:ascii="楷体_GB2312" w:hAnsi="楷体_GB2312" w:eastAsia="楷体_GB2312" w:cs="楷体_GB2312"/>
          <w:color w:val="333333"/>
          <w:kern w:val="0"/>
          <w:sz w:val="32"/>
          <w:szCs w:val="32"/>
          <w:lang w:val="en-US" w:eastAsia="zh-CN"/>
        </w:rPr>
        <w:t>4.</w:t>
      </w:r>
      <w:r>
        <w:rPr>
          <w:rFonts w:hint="eastAsia" w:ascii="楷体_GB2312" w:hAnsi="楷体_GB2312" w:eastAsia="楷体_GB2312" w:cs="楷体_GB2312"/>
          <w:color w:val="333333"/>
          <w:kern w:val="0"/>
          <w:sz w:val="32"/>
          <w:szCs w:val="32"/>
        </w:rPr>
        <w:t>政府信息公开平台建设情况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我局认真做好政府信息管理集约化平台的维护工作，</w:t>
      </w:r>
      <w:r>
        <w:rPr>
          <w:rFonts w:hint="eastAsia" w:ascii="仿宋_GB2312" w:hAnsi="宋体" w:eastAsia="仿宋_GB2312" w:cs="宋体"/>
          <w:color w:val="333333"/>
          <w:kern w:val="0"/>
          <w:sz w:val="32"/>
          <w:szCs w:val="32"/>
        </w:rPr>
        <w:t>今年机构改革完成后，及时更新了机构职能、行政职责</w:t>
      </w:r>
      <w:r>
        <w:rPr>
          <w:rFonts w:hint="eastAsia" w:ascii="仿宋_GB2312" w:hAnsi="宋体" w:eastAsia="仿宋_GB2312" w:cs="宋体"/>
          <w:color w:val="333333"/>
          <w:kern w:val="0"/>
          <w:sz w:val="32"/>
          <w:szCs w:val="32"/>
          <w:lang w:eastAsia="zh-CN"/>
        </w:rPr>
        <w:t>、领导介绍</w:t>
      </w:r>
      <w:r>
        <w:rPr>
          <w:rFonts w:hint="eastAsia" w:ascii="仿宋_GB2312" w:hAnsi="宋体" w:eastAsia="仿宋_GB2312" w:cs="宋体"/>
          <w:color w:val="333333"/>
          <w:kern w:val="0"/>
          <w:sz w:val="32"/>
          <w:szCs w:val="32"/>
        </w:rPr>
        <w:t>等</w:t>
      </w:r>
      <w:r>
        <w:rPr>
          <w:rFonts w:hint="eastAsia" w:ascii="仿宋_GB2312" w:hAnsi="宋体" w:eastAsia="仿宋_GB2312" w:cs="宋体"/>
          <w:color w:val="333333"/>
          <w:kern w:val="0"/>
          <w:sz w:val="32"/>
          <w:szCs w:val="32"/>
          <w:lang w:eastAsia="zh-CN"/>
        </w:rPr>
        <w:t>信息</w:t>
      </w:r>
      <w:r>
        <w:rPr>
          <w:rFonts w:hint="eastAsia" w:ascii="仿宋_GB2312" w:hAnsi="宋体" w:eastAsia="仿宋_GB2312" w:cs="宋体"/>
          <w:color w:val="333333"/>
          <w:kern w:val="0"/>
          <w:sz w:val="32"/>
          <w:szCs w:val="32"/>
        </w:rPr>
        <w:t>，</w:t>
      </w:r>
      <w:r>
        <w:rPr>
          <w:rFonts w:hint="eastAsia" w:ascii="仿宋_GB2312" w:hAnsi="宋体" w:eastAsia="仿宋_GB2312" w:cs="宋体"/>
          <w:color w:val="333333"/>
          <w:kern w:val="0"/>
          <w:sz w:val="32"/>
          <w:szCs w:val="32"/>
          <w:lang w:eastAsia="zh-CN"/>
        </w:rPr>
        <w:t>及时发布业务动态、政策解读等人民群众较为关注的信息，不断提高信息公开工作的质量和影响力</w:t>
      </w:r>
      <w:r>
        <w:rPr>
          <w:rFonts w:hint="eastAsia" w:ascii="仿宋_GB2312" w:hAnsi="宋体" w:eastAsia="仿宋_GB2312" w:cs="宋体"/>
          <w:color w:val="333333"/>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333333"/>
          <w:kern w:val="0"/>
          <w:sz w:val="32"/>
          <w:szCs w:val="32"/>
        </w:rPr>
      </w:pPr>
      <w:r>
        <w:rPr>
          <w:rFonts w:hint="eastAsia" w:ascii="楷体_GB2312" w:hAnsi="楷体_GB2312" w:eastAsia="楷体_GB2312" w:cs="楷体_GB2312"/>
          <w:color w:val="333333"/>
          <w:kern w:val="0"/>
          <w:sz w:val="32"/>
          <w:szCs w:val="32"/>
          <w:lang w:val="en-US" w:eastAsia="zh-CN"/>
        </w:rPr>
        <w:t>5.</w:t>
      </w:r>
      <w:r>
        <w:rPr>
          <w:rFonts w:hint="eastAsia" w:ascii="楷体_GB2312" w:hAnsi="楷体_GB2312" w:eastAsia="楷体_GB2312" w:cs="楷体_GB2312"/>
          <w:color w:val="333333"/>
          <w:kern w:val="0"/>
          <w:sz w:val="32"/>
          <w:szCs w:val="32"/>
        </w:rPr>
        <w:t>政府信息公开监督保障及教育培训情况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eastAsia="zh-CN"/>
        </w:rPr>
        <w:t>我局</w:t>
      </w:r>
      <w:r>
        <w:rPr>
          <w:rFonts w:hint="eastAsia" w:ascii="仿宋_GB2312" w:hAnsi="宋体" w:eastAsia="仿宋_GB2312" w:cs="宋体"/>
          <w:color w:val="333333"/>
          <w:kern w:val="0"/>
          <w:sz w:val="32"/>
          <w:szCs w:val="32"/>
        </w:rPr>
        <w:t>成立了</w:t>
      </w:r>
      <w:r>
        <w:rPr>
          <w:rFonts w:hint="eastAsia" w:ascii="仿宋_GB2312" w:hAnsi="宋体" w:eastAsia="仿宋_GB2312" w:cs="宋体"/>
          <w:color w:val="333333"/>
          <w:kern w:val="0"/>
          <w:sz w:val="32"/>
          <w:szCs w:val="32"/>
          <w:lang w:eastAsia="zh-CN"/>
        </w:rPr>
        <w:t>信息</w:t>
      </w:r>
      <w:r>
        <w:rPr>
          <w:rFonts w:hint="eastAsia" w:ascii="仿宋_GB2312" w:hAnsi="宋体" w:eastAsia="仿宋_GB2312" w:cs="宋体"/>
          <w:color w:val="333333"/>
          <w:kern w:val="0"/>
          <w:sz w:val="32"/>
          <w:szCs w:val="32"/>
        </w:rPr>
        <w:t>公开领导小组，建立健全政务公开工作制度，加强工作的协调统筹，明确分工，压实责任。</w:t>
      </w:r>
      <w:r>
        <w:rPr>
          <w:rFonts w:hint="eastAsia" w:ascii="仿宋" w:hAnsi="仿宋" w:eastAsia="仿宋"/>
          <w:sz w:val="32"/>
          <w:szCs w:val="32"/>
        </w:rPr>
        <w:t>信息公开领导小组定期</w:t>
      </w:r>
      <w:r>
        <w:rPr>
          <w:rFonts w:hint="eastAsia" w:ascii="仿宋" w:hAnsi="仿宋" w:eastAsia="仿宋"/>
          <w:sz w:val="32"/>
          <w:szCs w:val="32"/>
          <w:lang w:eastAsia="zh-CN"/>
        </w:rPr>
        <w:t>监督</w:t>
      </w:r>
      <w:r>
        <w:rPr>
          <w:rFonts w:hint="eastAsia" w:ascii="仿宋" w:hAnsi="仿宋" w:eastAsia="仿宋"/>
          <w:sz w:val="32"/>
          <w:szCs w:val="32"/>
        </w:rPr>
        <w:t>检查信息公开</w:t>
      </w:r>
      <w:r>
        <w:rPr>
          <w:rFonts w:hint="eastAsia" w:ascii="仿宋" w:hAnsi="仿宋" w:eastAsia="仿宋"/>
          <w:sz w:val="32"/>
          <w:szCs w:val="32"/>
          <w:lang w:eastAsia="zh-CN"/>
        </w:rPr>
        <w:t>工作</w:t>
      </w:r>
      <w:r>
        <w:rPr>
          <w:rFonts w:hint="eastAsia" w:ascii="仿宋" w:hAnsi="仿宋" w:eastAsia="仿宋"/>
          <w:sz w:val="32"/>
          <w:szCs w:val="32"/>
        </w:rPr>
        <w:t>情况，</w:t>
      </w:r>
      <w:r>
        <w:rPr>
          <w:rFonts w:hint="eastAsia" w:ascii="仿宋" w:hAnsi="仿宋" w:eastAsia="仿宋"/>
          <w:sz w:val="32"/>
          <w:szCs w:val="32"/>
          <w:lang w:eastAsia="zh-CN"/>
        </w:rPr>
        <w:t>及时发现工作中存在的薄弱环节和问题，积极整改，不断提高信息公开工作水平。</w:t>
      </w:r>
      <w:r>
        <w:rPr>
          <w:rFonts w:hint="eastAsia" w:ascii="仿宋_GB2312" w:hAnsi="宋体" w:eastAsia="仿宋_GB2312" w:cs="宋体"/>
          <w:color w:val="333333"/>
          <w:kern w:val="0"/>
          <w:sz w:val="32"/>
          <w:szCs w:val="32"/>
          <w:lang w:eastAsia="zh-CN"/>
        </w:rPr>
        <w:t>积极</w:t>
      </w:r>
      <w:r>
        <w:rPr>
          <w:rFonts w:hint="eastAsia" w:ascii="仿宋_GB2312" w:hAnsi="宋体" w:eastAsia="仿宋_GB2312" w:cs="宋体"/>
          <w:color w:val="333333"/>
          <w:kern w:val="0"/>
          <w:sz w:val="32"/>
          <w:szCs w:val="32"/>
        </w:rPr>
        <w:t>学习新修订的《中华人民共和国政府信息公开条例》和区委区政府有关文件精神，</w:t>
      </w:r>
      <w:r>
        <w:rPr>
          <w:rFonts w:hint="eastAsia" w:ascii="仿宋_GB2312" w:hAnsi="宋体" w:eastAsia="仿宋_GB2312" w:cs="宋体"/>
          <w:color w:val="333333"/>
          <w:kern w:val="0"/>
          <w:sz w:val="32"/>
          <w:szCs w:val="32"/>
          <w:lang w:eastAsia="zh-CN"/>
        </w:rPr>
        <w:t>全年开展了多次业务培训，不断增强工作人员的业务能力和素质，为全面做好信息公开工作打下了坚实的基础</w:t>
      </w:r>
      <w:r>
        <w:rPr>
          <w:rFonts w:hint="eastAsia" w:ascii="仿宋_GB2312" w:hAnsi="宋体" w:eastAsia="仿宋_GB2312" w:cs="宋体"/>
          <w:color w:val="333333"/>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333333"/>
          <w:kern w:val="0"/>
          <w:sz w:val="32"/>
          <w:szCs w:val="32"/>
        </w:rPr>
      </w:pPr>
      <w:r>
        <w:rPr>
          <w:rFonts w:hint="eastAsia" w:ascii="楷体_GB2312" w:hAnsi="楷体_GB2312" w:eastAsia="楷体_GB2312" w:cs="楷体_GB2312"/>
          <w:color w:val="333333"/>
          <w:kern w:val="0"/>
          <w:sz w:val="32"/>
          <w:szCs w:val="32"/>
          <w:lang w:val="en-US" w:eastAsia="zh-CN"/>
        </w:rPr>
        <w:t>6.</w:t>
      </w:r>
      <w:r>
        <w:rPr>
          <w:rFonts w:hint="eastAsia" w:ascii="楷体_GB2312" w:hAnsi="楷体_GB2312" w:eastAsia="楷体_GB2312" w:cs="楷体_GB2312"/>
          <w:color w:val="333333"/>
          <w:kern w:val="0"/>
          <w:sz w:val="32"/>
          <w:szCs w:val="32"/>
        </w:rPr>
        <w:t>市和区人民政府工作考核、社会评议和责任追究结果情况</w:t>
      </w:r>
    </w:p>
    <w:p>
      <w:pPr>
        <w:spacing w:line="560" w:lineRule="exact"/>
        <w:rPr>
          <w:rFonts w:ascii="黑体" w:hAnsi="黑体" w:eastAsia="黑体" w:cs="黑体"/>
          <w:color w:val="333333"/>
          <w:kern w:val="0"/>
          <w:sz w:val="32"/>
          <w:szCs w:val="32"/>
        </w:rPr>
      </w:pPr>
      <w:r>
        <w:rPr>
          <w:rFonts w:hint="eastAsia" w:ascii="黑体" w:hAnsi="黑体" w:eastAsia="黑体" w:cs="黑体"/>
          <w:color w:val="333333"/>
          <w:kern w:val="0"/>
          <w:sz w:val="32"/>
          <w:szCs w:val="32"/>
        </w:rPr>
        <w:t>二、主动公开政府信息情况</w:t>
      </w:r>
    </w:p>
    <w:tbl>
      <w:tblPr>
        <w:tblStyle w:val="4"/>
        <w:tblW w:w="8920" w:type="dxa"/>
        <w:tblInd w:w="0" w:type="dxa"/>
        <w:tblLayout w:type="fixed"/>
        <w:tblCellMar>
          <w:top w:w="0" w:type="dxa"/>
          <w:left w:w="0" w:type="dxa"/>
          <w:bottom w:w="0" w:type="dxa"/>
          <w:right w:w="0" w:type="dxa"/>
        </w:tblCellMar>
      </w:tblPr>
      <w:tblGrid>
        <w:gridCol w:w="1903"/>
        <w:gridCol w:w="1095"/>
        <w:gridCol w:w="1812"/>
        <w:gridCol w:w="1869"/>
        <w:gridCol w:w="2241"/>
      </w:tblGrid>
      <w:tr>
        <w:tblPrEx>
          <w:tblCellMar>
            <w:top w:w="0" w:type="dxa"/>
            <w:left w:w="0" w:type="dxa"/>
            <w:bottom w:w="0" w:type="dxa"/>
            <w:right w:w="0" w:type="dxa"/>
          </w:tblCellMar>
        </w:tblPrEx>
        <w:trPr>
          <w:trHeight w:val="655" w:hRule="atLeast"/>
        </w:trPr>
        <w:tc>
          <w:tcPr>
            <w:tcW w:w="8920" w:type="dxa"/>
            <w:gridSpan w:val="5"/>
            <w:tcBorders>
              <w:top w:val="single" w:color="000000" w:sz="4" w:space="0"/>
              <w:left w:val="single" w:color="000000" w:sz="4" w:space="0"/>
              <w:bottom w:val="single" w:color="000000" w:sz="4" w:space="0"/>
              <w:right w:val="single" w:color="000000" w:sz="4" w:space="0"/>
            </w:tcBorders>
            <w:shd w:val="clear" w:color="auto" w:fill="C6D9F1"/>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第二十条第（一）项</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信息内容</w:t>
            </w:r>
          </w:p>
        </w:tc>
        <w:tc>
          <w:tcPr>
            <w:tcW w:w="1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本年新制作数量</w:t>
            </w:r>
          </w:p>
        </w:tc>
        <w:tc>
          <w:tcPr>
            <w:tcW w:w="1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本年新公开数量</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对外公开总数量</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规章</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c>
          <w:tcPr>
            <w:tcW w:w="1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规范性文件</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1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r>
      <w:tr>
        <w:tblPrEx>
          <w:tblCellMar>
            <w:top w:w="0" w:type="dxa"/>
            <w:left w:w="0" w:type="dxa"/>
            <w:bottom w:w="0" w:type="dxa"/>
            <w:right w:w="0" w:type="dxa"/>
          </w:tblCellMar>
        </w:tblPrEx>
        <w:trPr>
          <w:trHeight w:val="655" w:hRule="atLeast"/>
        </w:trPr>
        <w:tc>
          <w:tcPr>
            <w:tcW w:w="8920" w:type="dxa"/>
            <w:gridSpan w:val="5"/>
            <w:tcBorders>
              <w:top w:val="single" w:color="000000" w:sz="4" w:space="0"/>
              <w:left w:val="single" w:color="000000" w:sz="4" w:space="0"/>
              <w:bottom w:val="single" w:color="000000" w:sz="4" w:space="0"/>
              <w:right w:val="single" w:color="000000" w:sz="4" w:space="0"/>
            </w:tcBorders>
            <w:shd w:val="clear" w:color="auto" w:fill="C6D9F1"/>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第二十条第（五）项</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信息内容</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上一年项目数量</w:t>
            </w:r>
          </w:p>
        </w:tc>
        <w:tc>
          <w:tcPr>
            <w:tcW w:w="1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本年增/减</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处理决定数量</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行政许可</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c>
          <w:tcPr>
            <w:tcW w:w="18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0" w:type="dxa"/>
            <w:bottom w:w="0" w:type="dxa"/>
            <w:right w:w="0" w:type="dxa"/>
          </w:tblCellMar>
        </w:tblPrEx>
        <w:trPr>
          <w:trHeight w:val="655" w:hRule="atLeast"/>
        </w:trPr>
        <w:tc>
          <w:tcPr>
            <w:tcW w:w="190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其他对外管理服务事项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行政检查</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1</w:t>
            </w:r>
          </w:p>
        </w:tc>
        <w:tc>
          <w:tcPr>
            <w:tcW w:w="18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bidi="ar"/>
              </w:rPr>
              <w:t>0</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kern w:val="0"/>
                <w:sz w:val="24"/>
                <w:lang w:bidi="ar"/>
              </w:rPr>
              <w:t>20</w:t>
            </w:r>
            <w:r>
              <w:rPr>
                <w:rFonts w:hint="eastAsia" w:ascii="宋体" w:hAnsi="宋体" w:eastAsia="宋体" w:cs="宋体"/>
                <w:color w:val="000000"/>
                <w:kern w:val="0"/>
                <w:sz w:val="24"/>
                <w:lang w:val="en-US" w:eastAsia="zh-CN" w:bidi="ar"/>
              </w:rPr>
              <w:t>3</w:t>
            </w:r>
          </w:p>
        </w:tc>
      </w:tr>
      <w:tr>
        <w:tblPrEx>
          <w:tblCellMar>
            <w:top w:w="0" w:type="dxa"/>
            <w:left w:w="0" w:type="dxa"/>
            <w:bottom w:w="0" w:type="dxa"/>
            <w:right w:w="0" w:type="dxa"/>
          </w:tblCellMar>
        </w:tblPrEx>
        <w:trPr>
          <w:trHeight w:val="655" w:hRule="atLeast"/>
        </w:trPr>
        <w:tc>
          <w:tcPr>
            <w:tcW w:w="190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行政确认</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bidi="ar"/>
              </w:rPr>
              <w:t>1</w:t>
            </w:r>
          </w:p>
        </w:tc>
        <w:tc>
          <w:tcPr>
            <w:tcW w:w="18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-1</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0" w:type="dxa"/>
            <w:bottom w:w="0" w:type="dxa"/>
            <w:right w:w="0" w:type="dxa"/>
          </w:tblCellMar>
        </w:tblPrEx>
        <w:trPr>
          <w:trHeight w:val="655" w:hRule="atLeast"/>
        </w:trPr>
        <w:tc>
          <w:tcPr>
            <w:tcW w:w="8920" w:type="dxa"/>
            <w:gridSpan w:val="5"/>
            <w:tcBorders>
              <w:top w:val="single" w:color="000000" w:sz="4" w:space="0"/>
              <w:left w:val="single" w:color="000000" w:sz="4" w:space="0"/>
              <w:bottom w:val="single" w:color="000000" w:sz="4" w:space="0"/>
              <w:right w:val="single" w:color="000000" w:sz="4" w:space="0"/>
            </w:tcBorders>
            <w:shd w:val="clear" w:color="auto" w:fill="C6D9F1"/>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第二十条第（六）项</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信息内容</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上一年项目数量</w:t>
            </w:r>
          </w:p>
        </w:tc>
        <w:tc>
          <w:tcPr>
            <w:tcW w:w="1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本年增/减</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处理决定数量</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行政处罚</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9</w:t>
            </w:r>
          </w:p>
        </w:tc>
        <w:tc>
          <w:tcPr>
            <w:tcW w:w="18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-2</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行政强制</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c>
          <w:tcPr>
            <w:tcW w:w="18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0" w:type="dxa"/>
            <w:bottom w:w="0" w:type="dxa"/>
            <w:right w:w="0" w:type="dxa"/>
          </w:tblCellMar>
        </w:tblPrEx>
        <w:trPr>
          <w:trHeight w:val="655" w:hRule="atLeast"/>
        </w:trPr>
        <w:tc>
          <w:tcPr>
            <w:tcW w:w="8920" w:type="dxa"/>
            <w:gridSpan w:val="5"/>
            <w:tcBorders>
              <w:top w:val="single" w:color="000000" w:sz="4" w:space="0"/>
              <w:left w:val="single" w:color="000000" w:sz="4" w:space="0"/>
              <w:bottom w:val="single" w:color="000000" w:sz="4" w:space="0"/>
              <w:right w:val="single" w:color="000000" w:sz="4" w:space="0"/>
            </w:tcBorders>
            <w:shd w:val="clear" w:color="auto" w:fill="C6D9F1"/>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第二十条第（八）项</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信息内容</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上一年项目数量</w:t>
            </w:r>
          </w:p>
        </w:tc>
        <w:tc>
          <w:tcPr>
            <w:tcW w:w="41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本年增/减</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行政事业性收费</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c>
          <w:tcPr>
            <w:tcW w:w="41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0" w:type="dxa"/>
            <w:bottom w:w="0" w:type="dxa"/>
            <w:right w:w="0" w:type="dxa"/>
          </w:tblCellMar>
        </w:tblPrEx>
        <w:trPr>
          <w:trHeight w:val="655" w:hRule="atLeast"/>
        </w:trPr>
        <w:tc>
          <w:tcPr>
            <w:tcW w:w="8920" w:type="dxa"/>
            <w:gridSpan w:val="5"/>
            <w:tcBorders>
              <w:top w:val="single" w:color="000000" w:sz="4" w:space="0"/>
              <w:left w:val="single" w:color="000000" w:sz="4" w:space="0"/>
              <w:bottom w:val="single" w:color="000000" w:sz="4" w:space="0"/>
              <w:right w:val="single" w:color="000000" w:sz="4" w:space="0"/>
            </w:tcBorders>
            <w:shd w:val="clear" w:color="auto" w:fill="C6D9F1"/>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第二十条第（九）项</w:t>
            </w:r>
          </w:p>
        </w:tc>
      </w:tr>
      <w:tr>
        <w:tblPrEx>
          <w:tblCellMar>
            <w:top w:w="0" w:type="dxa"/>
            <w:left w:w="0" w:type="dxa"/>
            <w:bottom w:w="0" w:type="dxa"/>
            <w:right w:w="0" w:type="dxa"/>
          </w:tblCellMar>
        </w:tblPrEx>
        <w:trPr>
          <w:trHeight w:val="655"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信息内容</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采购项目数量</w:t>
            </w:r>
          </w:p>
        </w:tc>
        <w:tc>
          <w:tcPr>
            <w:tcW w:w="41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采购总金额（万元，保留四位小数）</w:t>
            </w:r>
          </w:p>
        </w:tc>
      </w:tr>
      <w:tr>
        <w:tblPrEx>
          <w:tblCellMar>
            <w:top w:w="0" w:type="dxa"/>
            <w:left w:w="0" w:type="dxa"/>
            <w:bottom w:w="0" w:type="dxa"/>
            <w:right w:w="0" w:type="dxa"/>
          </w:tblCellMar>
        </w:tblPrEx>
        <w:trPr>
          <w:trHeight w:val="697" w:hRule="atLeast"/>
        </w:trPr>
        <w:tc>
          <w:tcPr>
            <w:tcW w:w="2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政府集中采购</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27</w:t>
            </w:r>
          </w:p>
        </w:tc>
        <w:tc>
          <w:tcPr>
            <w:tcW w:w="41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181</w:t>
            </w:r>
            <w:r>
              <w:rPr>
                <w:rFonts w:hint="eastAsia" w:ascii="宋体" w:hAnsi="宋体" w:eastAsia="宋体" w:cs="宋体"/>
                <w:color w:val="000000"/>
                <w:kern w:val="0"/>
                <w:sz w:val="24"/>
                <w:lang w:bidi="ar"/>
              </w:rPr>
              <w:t>.</w:t>
            </w:r>
            <w:r>
              <w:rPr>
                <w:rFonts w:hint="eastAsia" w:ascii="宋体" w:hAnsi="宋体" w:eastAsia="宋体" w:cs="宋体"/>
                <w:color w:val="000000"/>
                <w:kern w:val="0"/>
                <w:sz w:val="24"/>
                <w:lang w:val="en-US" w:eastAsia="zh-CN" w:bidi="ar"/>
              </w:rPr>
              <w:t>0212</w:t>
            </w:r>
          </w:p>
        </w:tc>
      </w:tr>
    </w:tbl>
    <w:p>
      <w:pPr>
        <w:spacing w:line="560" w:lineRule="exact"/>
        <w:ind w:left="640"/>
        <w:rPr>
          <w:rFonts w:ascii="仿宋_GB2312" w:hAnsi="宋体" w:eastAsia="仿宋_GB2312" w:cs="宋体"/>
          <w:color w:val="333333"/>
          <w:kern w:val="0"/>
          <w:sz w:val="32"/>
          <w:szCs w:val="32"/>
        </w:rPr>
        <w:sectPr>
          <w:footerReference r:id="rId3" w:type="default"/>
          <w:pgSz w:w="11906" w:h="16838"/>
          <w:pgMar w:top="1417" w:right="1134" w:bottom="1417" w:left="1134" w:header="851" w:footer="992" w:gutter="0"/>
          <w:cols w:space="425" w:num="1"/>
          <w:docGrid w:type="lines" w:linePitch="312" w:charSpace="0"/>
        </w:sectPr>
      </w:pPr>
    </w:p>
    <w:p>
      <w:pPr>
        <w:spacing w:line="560" w:lineRule="exact"/>
        <w:ind w:firstLine="640" w:firstLineChars="200"/>
        <w:rPr>
          <w:rFonts w:ascii="黑体" w:hAnsi="黑体" w:eastAsia="黑体" w:cs="黑体"/>
          <w:color w:val="333333"/>
          <w:kern w:val="0"/>
          <w:sz w:val="32"/>
          <w:szCs w:val="32"/>
        </w:rPr>
      </w:pPr>
      <w:r>
        <w:rPr>
          <w:rFonts w:hint="eastAsia" w:ascii="黑体" w:hAnsi="黑体" w:eastAsia="黑体" w:cs="黑体"/>
          <w:color w:val="333333"/>
          <w:kern w:val="0"/>
          <w:sz w:val="32"/>
          <w:szCs w:val="32"/>
        </w:rPr>
        <w:t>三、收到和处理政府信息公开申请情况</w:t>
      </w:r>
    </w:p>
    <w:tbl>
      <w:tblPr>
        <w:tblStyle w:val="4"/>
        <w:tblW w:w="8379" w:type="dxa"/>
        <w:tblInd w:w="0" w:type="dxa"/>
        <w:tblLayout w:type="autofit"/>
        <w:tblCellMar>
          <w:top w:w="0" w:type="dxa"/>
          <w:left w:w="0" w:type="dxa"/>
          <w:bottom w:w="0" w:type="dxa"/>
          <w:right w:w="0" w:type="dxa"/>
        </w:tblCellMar>
      </w:tblPr>
      <w:tblGrid>
        <w:gridCol w:w="670"/>
        <w:gridCol w:w="670"/>
        <w:gridCol w:w="1918"/>
        <w:gridCol w:w="670"/>
        <w:gridCol w:w="670"/>
        <w:gridCol w:w="670"/>
        <w:gridCol w:w="852"/>
        <w:gridCol w:w="840"/>
        <w:gridCol w:w="721"/>
        <w:gridCol w:w="698"/>
      </w:tblGrid>
      <w:tr>
        <w:tblPrEx>
          <w:tblCellMar>
            <w:top w:w="0" w:type="dxa"/>
            <w:left w:w="0" w:type="dxa"/>
            <w:bottom w:w="0" w:type="dxa"/>
            <w:right w:w="0" w:type="dxa"/>
          </w:tblCellMar>
        </w:tblPrEx>
        <w:trPr>
          <w:trHeight w:val="360" w:hRule="atLeast"/>
        </w:trPr>
        <w:tc>
          <w:tcPr>
            <w:tcW w:w="32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（本列数据的勾稽关系为：第一项加第二项之和，等于第三项加第四项之和）</w:t>
            </w:r>
          </w:p>
        </w:tc>
        <w:tc>
          <w:tcPr>
            <w:tcW w:w="512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申请人情况</w:t>
            </w:r>
          </w:p>
        </w:tc>
      </w:tr>
      <w:tr>
        <w:tblPrEx>
          <w:tblCellMar>
            <w:top w:w="0" w:type="dxa"/>
            <w:left w:w="0" w:type="dxa"/>
            <w:bottom w:w="0" w:type="dxa"/>
            <w:right w:w="0" w:type="dxa"/>
          </w:tblCellMar>
        </w:tblPrEx>
        <w:trPr>
          <w:trHeight w:val="360" w:hRule="atLeast"/>
        </w:trPr>
        <w:tc>
          <w:tcPr>
            <w:tcW w:w="32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自然人</w:t>
            </w:r>
          </w:p>
        </w:tc>
        <w:tc>
          <w:tcPr>
            <w:tcW w:w="375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法人或其他组织</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总计</w:t>
            </w:r>
          </w:p>
        </w:tc>
      </w:tr>
      <w:tr>
        <w:tblPrEx>
          <w:tblCellMar>
            <w:top w:w="0" w:type="dxa"/>
            <w:left w:w="0" w:type="dxa"/>
            <w:bottom w:w="0" w:type="dxa"/>
            <w:right w:w="0" w:type="dxa"/>
          </w:tblCellMar>
        </w:tblPrEx>
        <w:trPr>
          <w:trHeight w:val="669" w:hRule="atLeast"/>
        </w:trPr>
        <w:tc>
          <w:tcPr>
            <w:tcW w:w="32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商业  企业</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科研  机构</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社会公益组织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法律服务机构</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w:t>
            </w: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r>
      <w:tr>
        <w:tblPrEx>
          <w:tblCellMar>
            <w:top w:w="0" w:type="dxa"/>
            <w:left w:w="0" w:type="dxa"/>
            <w:bottom w:w="0" w:type="dxa"/>
            <w:right w:w="0" w:type="dxa"/>
          </w:tblCellMar>
        </w:tblPrEx>
        <w:trPr>
          <w:trHeight w:val="360" w:hRule="atLeast"/>
        </w:trPr>
        <w:tc>
          <w:tcPr>
            <w:tcW w:w="32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一、本年新收政府信息公开申请数量</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1</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1</w:t>
            </w:r>
          </w:p>
        </w:tc>
      </w:tr>
      <w:tr>
        <w:tblPrEx>
          <w:tblCellMar>
            <w:top w:w="0" w:type="dxa"/>
            <w:left w:w="0" w:type="dxa"/>
            <w:bottom w:w="0" w:type="dxa"/>
            <w:right w:w="0" w:type="dxa"/>
          </w:tblCellMar>
        </w:tblPrEx>
        <w:trPr>
          <w:trHeight w:val="360" w:hRule="atLeast"/>
        </w:trPr>
        <w:tc>
          <w:tcPr>
            <w:tcW w:w="32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二、上年结转政府信息公开申请数量</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三、本年度办理结果</w:t>
            </w: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（一）予以公开</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1</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sz w:val="18"/>
                <w:szCs w:val="18"/>
              </w:rPr>
              <w:t>1</w:t>
            </w:r>
          </w:p>
        </w:tc>
      </w:tr>
      <w:tr>
        <w:tblPrEx>
          <w:tblCellMar>
            <w:top w:w="0" w:type="dxa"/>
            <w:left w:w="0" w:type="dxa"/>
            <w:bottom w:w="0" w:type="dxa"/>
            <w:right w:w="0" w:type="dxa"/>
          </w:tblCellMar>
        </w:tblPrEx>
        <w:trPr>
          <w:trHeight w:val="669"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（二）部分公开（区分处理的，只计这一情形，不计其他情形）</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（三）不予公开</w:t>
            </w: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1.属于国家秘密</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sz w:val="18"/>
                <w:szCs w:val="18"/>
                <w:lang w:val="en-US" w:eastAsia="zh-CN"/>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669"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2.其他法律行政法规禁止公开</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3.危及“三安全一稳定”</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4.保护第三方合法权益</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648"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5.属于三类内部事务信息</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6.属于四类过程性信息</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7.属于行政执法案卷</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8.属于行政查询事项</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669"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（四）无法提供</w:t>
            </w: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1.本机关不掌握相关政府信息</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669"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2.没有现成信息需要另行制作</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669"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3.补正后申请内容仍不明确</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（五）不予处理</w:t>
            </w: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1.信访举报投诉类申请</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2.重复申请</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3.要求提供公开出版物</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669"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4.无正当理由大量反复申请</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669"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楷体" w:hAnsi="楷体" w:eastAsia="楷体" w:cs="楷体"/>
                <w:color w:val="000000"/>
                <w:sz w:val="18"/>
                <w:szCs w:val="18"/>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5.要求行政机关确认或重新出具已获取信息</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（六）其他处理</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r>
        <w:tblPrEx>
          <w:tblCellMar>
            <w:top w:w="0" w:type="dxa"/>
            <w:left w:w="0" w:type="dxa"/>
            <w:bottom w:w="0" w:type="dxa"/>
            <w:right w:w="0" w:type="dxa"/>
          </w:tblCellMar>
        </w:tblPrEx>
        <w:trPr>
          <w:trHeight w:val="360" w:hRule="atLeast"/>
        </w:trPr>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（七）总计</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1</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1</w:t>
            </w:r>
          </w:p>
        </w:tc>
      </w:tr>
      <w:tr>
        <w:tblPrEx>
          <w:tblCellMar>
            <w:top w:w="0" w:type="dxa"/>
            <w:left w:w="0" w:type="dxa"/>
            <w:bottom w:w="0" w:type="dxa"/>
            <w:right w:w="0" w:type="dxa"/>
          </w:tblCellMar>
        </w:tblPrEx>
        <w:trPr>
          <w:trHeight w:val="380" w:hRule="atLeast"/>
        </w:trPr>
        <w:tc>
          <w:tcPr>
            <w:tcW w:w="325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四、结转下年度继续办理</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Calibri" w:hAnsi="Calibri" w:eastAsia="宋体" w:cs="Calibri"/>
                <w:color w:val="000000"/>
                <w:kern w:val="2"/>
                <w:sz w:val="18"/>
                <w:szCs w:val="18"/>
                <w:lang w:val="en-US" w:eastAsia="zh-CN" w:bidi="ar-SA"/>
              </w:rPr>
            </w:pPr>
            <w:r>
              <w:rPr>
                <w:rFonts w:hint="eastAsia" w:ascii="Calibri" w:hAnsi="Calibri" w:eastAsia="宋体" w:cs="Calibri"/>
                <w:color w:val="000000"/>
                <w:sz w:val="18"/>
                <w:szCs w:val="18"/>
                <w:lang w:val="en-US" w:eastAsia="zh-CN"/>
              </w:rPr>
              <w:t>0</w:t>
            </w:r>
          </w:p>
        </w:tc>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Calibri" w:hAnsi="Calibri" w:eastAsia="宋体" w:cs="Calibri"/>
                <w:color w:val="000000"/>
                <w:sz w:val="18"/>
                <w:szCs w:val="18"/>
              </w:rPr>
            </w:pPr>
            <w:r>
              <w:rPr>
                <w:rFonts w:ascii="Calibri" w:hAnsi="Calibri" w:eastAsia="宋体" w:cs="Calibri"/>
                <w:color w:val="000000"/>
                <w:kern w:val="0"/>
                <w:sz w:val="18"/>
                <w:szCs w:val="18"/>
                <w:lang w:bidi="ar"/>
              </w:rPr>
              <w:t>0</w:t>
            </w:r>
          </w:p>
        </w:tc>
      </w:tr>
    </w:tbl>
    <w:p>
      <w:pPr>
        <w:spacing w:line="560" w:lineRule="exact"/>
        <w:ind w:left="640"/>
        <w:rPr>
          <w:rFonts w:ascii="仿宋_GB2312" w:hAnsi="宋体" w:eastAsia="仿宋_GB2312" w:cs="宋体"/>
          <w:color w:val="333333"/>
          <w:kern w:val="0"/>
          <w:sz w:val="18"/>
          <w:szCs w:val="18"/>
        </w:rPr>
      </w:pPr>
    </w:p>
    <w:p>
      <w:pPr>
        <w:spacing w:line="560" w:lineRule="exact"/>
        <w:ind w:firstLine="640" w:firstLineChars="200"/>
        <w:rPr>
          <w:rFonts w:ascii="仿宋_GB2312" w:hAnsi="宋体" w:eastAsia="仿宋_GB2312" w:cs="宋体"/>
          <w:color w:val="333333"/>
          <w:kern w:val="0"/>
          <w:sz w:val="32"/>
          <w:szCs w:val="32"/>
        </w:rPr>
      </w:pPr>
      <w:r>
        <w:rPr>
          <w:rFonts w:hint="eastAsia" w:ascii="黑体" w:hAnsi="黑体" w:eastAsia="黑体" w:cs="黑体"/>
          <w:color w:val="333333"/>
          <w:kern w:val="0"/>
          <w:sz w:val="32"/>
          <w:szCs w:val="32"/>
        </w:rPr>
        <w:t>四、政府信息公开行政复议、行政诉讼情况</w:t>
      </w:r>
    </w:p>
    <w:tbl>
      <w:tblPr>
        <w:tblStyle w:val="4"/>
        <w:tblpPr w:leftFromText="180" w:rightFromText="180" w:vertAnchor="text" w:horzAnchor="page" w:tblpX="2068" w:tblpY="183"/>
        <w:tblOverlap w:val="never"/>
        <w:tblW w:w="8019" w:type="dxa"/>
        <w:tblInd w:w="0" w:type="dxa"/>
        <w:tblLayout w:type="autofit"/>
        <w:tblCellMar>
          <w:top w:w="0" w:type="dxa"/>
          <w:left w:w="0" w:type="dxa"/>
          <w:bottom w:w="0" w:type="dxa"/>
          <w:right w:w="0" w:type="dxa"/>
        </w:tblCellMar>
      </w:tblPr>
      <w:tblGrid>
        <w:gridCol w:w="533"/>
        <w:gridCol w:w="533"/>
        <w:gridCol w:w="533"/>
        <w:gridCol w:w="533"/>
        <w:gridCol w:w="585"/>
        <w:gridCol w:w="516"/>
        <w:gridCol w:w="516"/>
        <w:gridCol w:w="516"/>
        <w:gridCol w:w="516"/>
        <w:gridCol w:w="585"/>
        <w:gridCol w:w="516"/>
        <w:gridCol w:w="516"/>
        <w:gridCol w:w="516"/>
        <w:gridCol w:w="516"/>
        <w:gridCol w:w="589"/>
      </w:tblGrid>
      <w:tr>
        <w:tblPrEx>
          <w:tblCellMar>
            <w:top w:w="0" w:type="dxa"/>
            <w:left w:w="0" w:type="dxa"/>
            <w:bottom w:w="0" w:type="dxa"/>
            <w:right w:w="0" w:type="dxa"/>
          </w:tblCellMar>
        </w:tblPrEx>
        <w:trPr>
          <w:trHeight w:val="568" w:hRule="atLeast"/>
        </w:trPr>
        <w:tc>
          <w:tcPr>
            <w:tcW w:w="271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行政复议</w:t>
            </w:r>
          </w:p>
        </w:tc>
        <w:tc>
          <w:tcPr>
            <w:tcW w:w="530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行政诉讼</w:t>
            </w:r>
          </w:p>
        </w:tc>
      </w:tr>
      <w:tr>
        <w:tblPrEx>
          <w:tblCellMar>
            <w:top w:w="0" w:type="dxa"/>
            <w:left w:w="0" w:type="dxa"/>
            <w:bottom w:w="0" w:type="dxa"/>
            <w:right w:w="0" w:type="dxa"/>
          </w:tblCellMar>
        </w:tblPrEx>
        <w:trPr>
          <w:trHeight w:val="568"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结果维持</w:t>
            </w:r>
          </w:p>
        </w:tc>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结果纠正</w:t>
            </w:r>
          </w:p>
        </w:tc>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其他结果</w:t>
            </w:r>
          </w:p>
        </w:tc>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尚未审结</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总计</w:t>
            </w:r>
          </w:p>
        </w:tc>
        <w:tc>
          <w:tcPr>
            <w:tcW w:w="264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未经复议直接起诉</w:t>
            </w:r>
          </w:p>
        </w:tc>
        <w:tc>
          <w:tcPr>
            <w:tcW w:w="265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复议后起诉</w:t>
            </w:r>
          </w:p>
        </w:tc>
      </w:tr>
      <w:tr>
        <w:tblPrEx>
          <w:tblCellMar>
            <w:top w:w="0" w:type="dxa"/>
            <w:left w:w="0" w:type="dxa"/>
            <w:bottom w:w="0" w:type="dxa"/>
            <w:right w:w="0" w:type="dxa"/>
          </w:tblCellMar>
        </w:tblPrEx>
        <w:trPr>
          <w:trHeight w:val="638"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结果维持</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结果纠正</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其他结果</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尚未审结</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总计</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结果维持</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结果纠正</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其他结果</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尚未审结</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总计</w:t>
            </w:r>
          </w:p>
        </w:tc>
      </w:tr>
      <w:tr>
        <w:tblPrEx>
          <w:tblCellMar>
            <w:top w:w="0" w:type="dxa"/>
            <w:left w:w="0" w:type="dxa"/>
            <w:bottom w:w="0" w:type="dxa"/>
            <w:right w:w="0" w:type="dxa"/>
          </w:tblCellMar>
        </w:tblPrEx>
        <w:trPr>
          <w:trHeight w:val="698"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Calibri" w:hAnsi="Calibri" w:eastAsia="宋体" w:cs="Calibri"/>
                <w:color w:val="000000"/>
                <w:sz w:val="18"/>
                <w:szCs w:val="18"/>
              </w:rPr>
            </w:pPr>
            <w:r>
              <w:rPr>
                <w:rFonts w:hint="eastAsia" w:ascii="Calibri" w:hAnsi="Calibri" w:eastAsia="宋体" w:cs="Calibri"/>
                <w:color w:val="000000"/>
                <w:sz w:val="18"/>
                <w:szCs w:val="18"/>
              </w:rPr>
              <w:t>0</w:t>
            </w:r>
          </w:p>
        </w:tc>
      </w:tr>
    </w:tbl>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ascii="黑体" w:hAnsi="黑体" w:eastAsia="黑体" w:cs="黑体"/>
          <w:color w:val="333333"/>
          <w:kern w:val="0"/>
          <w:sz w:val="32"/>
          <w:szCs w:val="32"/>
        </w:rPr>
      </w:pPr>
      <w:r>
        <w:rPr>
          <w:rFonts w:hint="eastAsia" w:ascii="黑体" w:hAnsi="黑体" w:eastAsia="黑体" w:cs="黑体"/>
          <w:color w:val="333333"/>
          <w:kern w:val="0"/>
          <w:sz w:val="32"/>
          <w:szCs w:val="32"/>
        </w:rPr>
        <w:t>五、政府信息公开工作存在的主要问题及改进情况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2019年，我局的信息公开工作虽然取得了一些成绩，但是距离人民群众的期盼还有一些差距，主要有以下两个方面。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1.信息公开的内容还需规范。改进措施：继续深入学习《中华人民共和国政府信息公开条例》</w:t>
      </w:r>
      <w:bookmarkStart w:id="0" w:name="_GoBack"/>
      <w:bookmarkEnd w:id="0"/>
      <w:r>
        <w:rPr>
          <w:rFonts w:hint="eastAsia" w:ascii="仿宋_GB2312" w:hAnsi="宋体" w:eastAsia="仿宋_GB2312" w:cs="宋体"/>
          <w:color w:val="333333"/>
          <w:kern w:val="0"/>
          <w:sz w:val="32"/>
          <w:szCs w:val="32"/>
        </w:rPr>
        <w:t>相关文件精神，</w:t>
      </w:r>
      <w:r>
        <w:rPr>
          <w:rFonts w:hint="eastAsia" w:ascii="仿宋_GB2312" w:hAnsi="宋体" w:eastAsia="仿宋_GB2312" w:cs="宋体"/>
          <w:color w:val="333333"/>
          <w:kern w:val="0"/>
          <w:sz w:val="32"/>
          <w:szCs w:val="32"/>
          <w:lang w:eastAsia="zh-CN"/>
        </w:rPr>
        <w:t>落实好</w:t>
      </w:r>
      <w:r>
        <w:rPr>
          <w:rFonts w:hint="eastAsia" w:ascii="仿宋_GB2312" w:hAnsi="宋体" w:eastAsia="仿宋_GB2312" w:cs="宋体"/>
          <w:color w:val="333333"/>
          <w:kern w:val="0"/>
          <w:sz w:val="32"/>
          <w:szCs w:val="32"/>
        </w:rPr>
        <w:t>信息报送、审核、签发机制，层层把关，不断提高信息内容的质量。同时积极开展人员培训，加强学习交流，不断提高工作人员业务水平。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2.信息公开的形式还需丰富。改进措施：在信息公开管理平台上及时发布信息，同时利用好 “丰台V科技”官方微信平台、信用丰台网站等及时发布、解读丰台科技创新和信用建设的形势、政策、举措等，不断拓宽信息发布渠道，丰富信息公开的内容和形式。</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ascii="仿宋_GB2312" w:hAnsi="宋体" w:eastAsia="仿宋_GB2312" w:cs="宋体"/>
          <w:color w:val="333333"/>
          <w:kern w:val="0"/>
          <w:sz w:val="32"/>
          <w:szCs w:val="32"/>
        </w:rPr>
      </w:pPr>
      <w:r>
        <w:rPr>
          <w:rFonts w:hint="eastAsia" w:ascii="黑体" w:hAnsi="黑体" w:eastAsia="黑体" w:cs="黑体"/>
          <w:color w:val="333333"/>
          <w:kern w:val="0"/>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1.推动高精尖产业项目建设。推动区政府与北京市科委共同设立“北京市自然科学基金-丰台轨道交通前沿研究联合基金</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调动清华大学、中科院自动化所、北京交通大学等17家单位资源，提升丰台区轨道交通产业的影响力；推动中关村丰台园西-区海绵城市项目和丰台创新中心建设纳入全市首批十个应用场景建设项目；海信科金、北矿科技等21家企业分别获得国家科学技术奖和北京市科学技术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333333"/>
          <w:kern w:val="0"/>
          <w:sz w:val="32"/>
          <w:szCs w:val="32"/>
          <w:lang w:eastAsia="zh-CN"/>
        </w:rPr>
      </w:pPr>
      <w:r>
        <w:rPr>
          <w:rFonts w:hint="eastAsia" w:ascii="仿宋_GB2312" w:hAnsi="宋体" w:eastAsia="仿宋_GB2312" w:cs="宋体"/>
          <w:color w:val="333333"/>
          <w:kern w:val="0"/>
          <w:sz w:val="32"/>
          <w:szCs w:val="32"/>
          <w:lang w:val="en-US" w:eastAsia="zh-CN"/>
        </w:rPr>
        <w:t>2</w:t>
      </w:r>
      <w:r>
        <w:rPr>
          <w:rFonts w:hint="eastAsia" w:ascii="仿宋_GB2312" w:hAnsi="宋体" w:eastAsia="仿宋_GB2312" w:cs="宋体"/>
          <w:color w:val="333333"/>
          <w:kern w:val="0"/>
          <w:sz w:val="32"/>
          <w:szCs w:val="32"/>
        </w:rPr>
        <w:t>.壮大科技创业孵化载体。新增5家孵化机构，我区各类孵化机构数量达到54家,比去年年底增加10%。京卫惟科生物科技孵化（北京）有限公司、北京搜宝创展科技孵化器成为国家级孵化器</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我区国家级孵化器将增至9家</w:t>
      </w:r>
      <w:r>
        <w:rPr>
          <w:rFonts w:hint="eastAsia" w:ascii="仿宋_GB2312" w:hAnsi="宋体" w:eastAsia="仿宋_GB2312" w:cs="宋体"/>
          <w:color w:val="333333"/>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3</w:t>
      </w:r>
      <w:r>
        <w:rPr>
          <w:rFonts w:hint="eastAsia" w:ascii="仿宋_GB2312" w:hAnsi="宋体" w:eastAsia="仿宋_GB2312" w:cs="宋体"/>
          <w:color w:val="333333"/>
          <w:kern w:val="0"/>
          <w:sz w:val="32"/>
          <w:szCs w:val="32"/>
        </w:rPr>
        <w:t>.狠抓科普教育。举办了以“科技强国 科普惠民”为主题的科技活动周，围绕“科技成果展示、科普互动体验、民生科普宣传”三个板块，联合区内各级科普基地举行形式多样的科普活动，受益人群50000余人次；首次发布了“科普地图”和“科普畅游护照”，将丰台区特色科普资源进行串联，打造“美丽丰台科普行”主题科普活动，共印制发放科普地图2000张，科普护照20000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4</w:t>
      </w:r>
      <w:r>
        <w:rPr>
          <w:rFonts w:hint="eastAsia" w:ascii="仿宋_GB2312" w:hAnsi="宋体" w:eastAsia="仿宋_GB2312" w:cs="宋体"/>
          <w:color w:val="333333"/>
          <w:kern w:val="0"/>
          <w:sz w:val="32"/>
          <w:szCs w:val="32"/>
        </w:rPr>
        <w:t>.全力推进社会信用体系建设。建立社会信用体系建设联席会议制度，强化信用建设统筹协调作用；建立健全社会信用体系建设政策制度体系，编制印发了《丰台区2019年社会信用体系建设工作评价办法》（丰社信联办发〔2019〕6号）《关于建立完善丰台区信用联合奖惩制度加快推进诚信建设的实施意见》（丰社信联办发〔2019〕8号</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等信用制度文件，全面部署区内信用工作安排；积极开展“诚信建设万里行”宣传活动，全面提升区域信用水平；注重信用信息基础设施建设，完成信用丰台网站建设；丰台区社会信用体系建设</w:t>
      </w:r>
      <w:r>
        <w:rPr>
          <w:rFonts w:hint="eastAsia" w:ascii="仿宋_GB2312" w:hAnsi="宋体" w:eastAsia="仿宋_GB2312" w:cs="宋体"/>
          <w:color w:val="333333"/>
          <w:kern w:val="0"/>
          <w:sz w:val="32"/>
          <w:szCs w:val="32"/>
          <w:lang w:eastAsia="zh-CN"/>
        </w:rPr>
        <w:t>重点</w:t>
      </w:r>
      <w:r>
        <w:rPr>
          <w:rFonts w:hint="eastAsia" w:ascii="仿宋_GB2312" w:hAnsi="宋体" w:eastAsia="仿宋_GB2312" w:cs="宋体"/>
          <w:color w:val="333333"/>
          <w:kern w:val="0"/>
          <w:sz w:val="32"/>
          <w:szCs w:val="32"/>
        </w:rPr>
        <w:t>任务完成情况</w:t>
      </w:r>
      <w:r>
        <w:rPr>
          <w:rFonts w:hint="eastAsia" w:ascii="仿宋_GB2312" w:hAnsi="宋体" w:eastAsia="仿宋_GB2312" w:cs="宋体"/>
          <w:color w:val="333333"/>
          <w:kern w:val="0"/>
          <w:sz w:val="32"/>
          <w:szCs w:val="32"/>
          <w:lang w:eastAsia="zh-CN"/>
        </w:rPr>
        <w:t>和</w:t>
      </w:r>
      <w:r>
        <w:rPr>
          <w:rFonts w:hint="eastAsia" w:ascii="仿宋_GB2312" w:hAnsi="宋体" w:eastAsia="仿宋_GB2312" w:cs="宋体"/>
          <w:color w:val="333333"/>
          <w:kern w:val="0"/>
          <w:sz w:val="32"/>
          <w:szCs w:val="32"/>
        </w:rPr>
        <w:t>综合信用指数在全市</w:t>
      </w:r>
      <w:r>
        <w:rPr>
          <w:rFonts w:hint="eastAsia" w:ascii="仿宋_GB2312" w:hAnsi="宋体" w:eastAsia="仿宋_GB2312" w:cs="宋体"/>
          <w:color w:val="333333"/>
          <w:kern w:val="0"/>
          <w:sz w:val="32"/>
          <w:szCs w:val="32"/>
          <w:lang w:eastAsia="zh-CN"/>
        </w:rPr>
        <w:t>位居前列</w:t>
      </w:r>
      <w:r>
        <w:rPr>
          <w:rFonts w:hint="eastAsia" w:ascii="仿宋_GB2312" w:hAnsi="宋体" w:eastAsia="仿宋_GB2312" w:cs="宋体"/>
          <w:color w:val="333333"/>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333333"/>
          <w:kern w:val="0"/>
          <w:sz w:val="32"/>
          <w:szCs w:val="32"/>
        </w:rPr>
      </w:pPr>
    </w:p>
    <w:p>
      <w:pPr>
        <w:spacing w:line="560" w:lineRule="exact"/>
        <w:ind w:left="640"/>
        <w:rPr>
          <w:rFonts w:ascii="仿宋_GB2312" w:hAnsi="宋体" w:eastAsia="仿宋_GB2312" w:cs="宋体"/>
          <w:color w:val="333333"/>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9F"/>
    <w:rsid w:val="00124196"/>
    <w:rsid w:val="0014704E"/>
    <w:rsid w:val="00337576"/>
    <w:rsid w:val="004868CC"/>
    <w:rsid w:val="005064EF"/>
    <w:rsid w:val="00507111"/>
    <w:rsid w:val="005D453E"/>
    <w:rsid w:val="006023E1"/>
    <w:rsid w:val="0063511B"/>
    <w:rsid w:val="0064707E"/>
    <w:rsid w:val="006A7F5A"/>
    <w:rsid w:val="00742DC6"/>
    <w:rsid w:val="00747130"/>
    <w:rsid w:val="00947251"/>
    <w:rsid w:val="009F2354"/>
    <w:rsid w:val="00A046FF"/>
    <w:rsid w:val="00A8339F"/>
    <w:rsid w:val="00B93C20"/>
    <w:rsid w:val="00BC797F"/>
    <w:rsid w:val="00CF0F9C"/>
    <w:rsid w:val="00E33F4F"/>
    <w:rsid w:val="00EB4B3D"/>
    <w:rsid w:val="00FE430D"/>
    <w:rsid w:val="01BD4134"/>
    <w:rsid w:val="04C0790C"/>
    <w:rsid w:val="05AD00A4"/>
    <w:rsid w:val="05F804A2"/>
    <w:rsid w:val="072A5DFC"/>
    <w:rsid w:val="078A71F4"/>
    <w:rsid w:val="08F44330"/>
    <w:rsid w:val="09214A3B"/>
    <w:rsid w:val="0B570DDD"/>
    <w:rsid w:val="0C8F7310"/>
    <w:rsid w:val="0D0A3BBE"/>
    <w:rsid w:val="0D3F7B26"/>
    <w:rsid w:val="0DB6783B"/>
    <w:rsid w:val="0DB87DEA"/>
    <w:rsid w:val="0DFB32CA"/>
    <w:rsid w:val="0ECD3D97"/>
    <w:rsid w:val="0EF86BAF"/>
    <w:rsid w:val="0F657E13"/>
    <w:rsid w:val="10045641"/>
    <w:rsid w:val="10A06863"/>
    <w:rsid w:val="12444C20"/>
    <w:rsid w:val="129577E5"/>
    <w:rsid w:val="13B569BD"/>
    <w:rsid w:val="14E4542B"/>
    <w:rsid w:val="154B5D45"/>
    <w:rsid w:val="16292B77"/>
    <w:rsid w:val="17007BBF"/>
    <w:rsid w:val="17B24FC6"/>
    <w:rsid w:val="1CDD27CF"/>
    <w:rsid w:val="1DF13055"/>
    <w:rsid w:val="22FA18E5"/>
    <w:rsid w:val="27C128FC"/>
    <w:rsid w:val="27EA10C6"/>
    <w:rsid w:val="2A0F6FBB"/>
    <w:rsid w:val="2DC01E5F"/>
    <w:rsid w:val="2E0A74D9"/>
    <w:rsid w:val="2EB33AF9"/>
    <w:rsid w:val="2EBA3672"/>
    <w:rsid w:val="2F995810"/>
    <w:rsid w:val="305B5F83"/>
    <w:rsid w:val="309D43E1"/>
    <w:rsid w:val="315E3925"/>
    <w:rsid w:val="32A004B2"/>
    <w:rsid w:val="335A760B"/>
    <w:rsid w:val="33773F75"/>
    <w:rsid w:val="338C16B6"/>
    <w:rsid w:val="3833159E"/>
    <w:rsid w:val="38E43B15"/>
    <w:rsid w:val="39D45C9F"/>
    <w:rsid w:val="39E15322"/>
    <w:rsid w:val="3CF57E93"/>
    <w:rsid w:val="3D2C2289"/>
    <w:rsid w:val="3FDB5B0D"/>
    <w:rsid w:val="40990543"/>
    <w:rsid w:val="40F340C7"/>
    <w:rsid w:val="43E745F8"/>
    <w:rsid w:val="44B51CB0"/>
    <w:rsid w:val="46303317"/>
    <w:rsid w:val="4698755C"/>
    <w:rsid w:val="47DB0628"/>
    <w:rsid w:val="49AC02E3"/>
    <w:rsid w:val="49B00FF3"/>
    <w:rsid w:val="4D0B6B75"/>
    <w:rsid w:val="504F46B1"/>
    <w:rsid w:val="50C845CD"/>
    <w:rsid w:val="532D2C11"/>
    <w:rsid w:val="54121C30"/>
    <w:rsid w:val="58040133"/>
    <w:rsid w:val="5C1703C5"/>
    <w:rsid w:val="5C5F5C83"/>
    <w:rsid w:val="5CBF24CD"/>
    <w:rsid w:val="5E825D1A"/>
    <w:rsid w:val="5F0550BD"/>
    <w:rsid w:val="601D273C"/>
    <w:rsid w:val="604014D2"/>
    <w:rsid w:val="60542D42"/>
    <w:rsid w:val="649F15B6"/>
    <w:rsid w:val="66E2051E"/>
    <w:rsid w:val="69545511"/>
    <w:rsid w:val="6C531241"/>
    <w:rsid w:val="6CBC1F79"/>
    <w:rsid w:val="71801789"/>
    <w:rsid w:val="71886073"/>
    <w:rsid w:val="719174B5"/>
    <w:rsid w:val="72BA05D9"/>
    <w:rsid w:val="74E417C0"/>
    <w:rsid w:val="75100154"/>
    <w:rsid w:val="752B64AD"/>
    <w:rsid w:val="763D780C"/>
    <w:rsid w:val="7A227662"/>
    <w:rsid w:val="7C045B16"/>
    <w:rsid w:val="7DB462BB"/>
    <w:rsid w:val="7E3C6F0D"/>
    <w:rsid w:val="7F5C1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3012</Words>
  <Characters>581</Characters>
  <Lines>4</Lines>
  <Paragraphs>7</Paragraphs>
  <TotalTime>5</TotalTime>
  <ScaleCrop>false</ScaleCrop>
  <LinksUpToDate>false</LinksUpToDate>
  <CharactersWithSpaces>3586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2019-12-24T08:16:00Z</dcterms:created>
  <dc:creator>dell</dc:creator>
  <cp:lastModifiedBy>立永</cp:lastModifiedBy>
  <cp:lastPrinted>2020-01-06T05:55:00Z</cp:lastPrinted>
  <dcterms:modified xsi:type="dcterms:W3CDTF">2020-09-22T06:08:27Z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