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北京市丰台区财政局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lang w:bidi="ar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bidi="ar"/>
        </w:rPr>
        <w:t xml:space="preserve">  </w:t>
      </w:r>
    </w:p>
    <w:p>
      <w:pPr>
        <w:widowControl/>
        <w:spacing w:line="560" w:lineRule="exact"/>
        <w:ind w:left="0" w:leftChars="0" w:firstLine="638" w:firstLineChars="19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依据《中华人民共和国政府信息公开条例》(以下简称《政府信息公开条例》)第五十条规定，编制本报告。</w:t>
      </w:r>
    </w:p>
    <w:p>
      <w:pPr>
        <w:widowControl/>
        <w:spacing w:line="560" w:lineRule="exact"/>
        <w:ind w:left="0" w:leftChars="0" w:firstLine="638" w:firstLineChars="190"/>
        <w:jc w:val="left"/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一、总体</w:t>
      </w: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eastAsia="zh-CN" w:bidi="ar"/>
        </w:rPr>
        <w:t>工作</w:t>
      </w: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情况</w:t>
      </w:r>
    </w:p>
    <w:p>
      <w:pPr>
        <w:widowControl/>
        <w:spacing w:line="560" w:lineRule="exact"/>
        <w:ind w:left="0" w:leftChars="0" w:firstLine="608" w:firstLineChars="190"/>
        <w:jc w:val="left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丰台区财政局始终将信息公开工作作为重点工作之一，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积极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利用部门“动态栏目、财政信息、执法公示”等栏目，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宣传重大财政改革精神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及</w:t>
      </w:r>
      <w:r>
        <w:rPr>
          <w:rFonts w:hint="eastAsia" w:ascii="仿宋_GB2312" w:hAnsi="Times New Roman" w:eastAsia="仿宋_GB2312" w:cs="Times New Roman"/>
          <w:sz w:val="32"/>
          <w:szCs w:val="32"/>
        </w:rPr>
        <w:t>重要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财政</w:t>
      </w:r>
      <w:r>
        <w:rPr>
          <w:rFonts w:hint="eastAsia" w:ascii="仿宋_GB2312" w:hAnsi="Times New Roman" w:eastAsia="仿宋_GB2312" w:cs="Times New Roman"/>
          <w:sz w:val="32"/>
          <w:szCs w:val="32"/>
        </w:rPr>
        <w:t>事项，扩大财政信息公开的覆盖面和影响力。202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hAnsi="Times New Roman" w:eastAsia="仿宋_GB2312" w:cs="Times New Roman"/>
          <w:sz w:val="32"/>
          <w:szCs w:val="32"/>
        </w:rPr>
        <w:t>年，通过信息公开门户网站主动向社会公开财政信息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229</w:t>
      </w:r>
      <w:r>
        <w:rPr>
          <w:rFonts w:hint="eastAsia" w:ascii="仿宋_GB2312" w:hAnsi="Times New Roman" w:eastAsia="仿宋_GB2312" w:cs="Times New Roman"/>
          <w:sz w:val="32"/>
          <w:szCs w:val="32"/>
        </w:rPr>
        <w:t>条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。</w:t>
      </w:r>
    </w:p>
    <w:p>
      <w:pPr>
        <w:widowControl/>
        <w:spacing w:line="560" w:lineRule="exact"/>
        <w:ind w:left="0" w:leftChars="0" w:firstLine="608" w:firstLineChars="190"/>
        <w:jc w:val="left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严密组织财政预决算信息公开。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根据《丰台区2023 年政务公开工作要点任务分解》中“</w:t>
      </w:r>
      <w:r>
        <w:rPr>
          <w:rFonts w:hint="eastAsia" w:ascii="仿宋_GB2312" w:hAnsi="Times New Roman" w:eastAsia="仿宋_GB2312" w:cs="Times New Roman"/>
          <w:sz w:val="32"/>
          <w:szCs w:val="32"/>
        </w:rPr>
        <w:t>加强财政预决算信息公开，推进所有非涉密部门应公开尽公开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”要求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,丰台区财政局组织区属预算单位严格落实《预算法》，及时公开2023年度政府及部门预决算情况。</w:t>
      </w:r>
    </w:p>
    <w:p>
      <w:pPr>
        <w:widowControl/>
        <w:spacing w:line="560" w:lineRule="exact"/>
        <w:ind w:left="0" w:leftChars="0" w:firstLine="608" w:firstLineChars="190"/>
        <w:jc w:val="left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.政府预算、调整预算公开情况。丰台区2023年政府预算于2023年1月5日经区十七届人民代表大会第三次会议审议批准，1月12日在区政府网站上完成公开。公开内容包括预算报告、预算草案等内容。2023年第一次调整预算于2023年3月23日经区人大常委会审议批准，3月30日在区政府网站上完成公开。公开内容包括调整预算报告、调整预算表。2023年第二次调整预算于2023年7月27日经区人大常委会审议批准，8月9日在区政府网站上完成公开。公开内容包括调整预算报告、调整预算表。</w:t>
      </w:r>
    </w:p>
    <w:p>
      <w:pPr>
        <w:widowControl/>
        <w:spacing w:line="560" w:lineRule="exact"/>
        <w:ind w:left="0" w:leftChars="0" w:firstLine="608" w:firstLineChars="190"/>
        <w:jc w:val="left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2.政府决算公开情况。2023年政府决算于2023年7月27日经区人大常委会审议批准，8月9日在区政府网站上完成公开。公开内容包括决算报告、决算草案、三公经费安排说明、转移支付安排说明、绩效管理情况说明。</w:t>
      </w:r>
    </w:p>
    <w:p>
      <w:pPr>
        <w:widowControl/>
        <w:spacing w:line="560" w:lineRule="exact"/>
        <w:ind w:left="0" w:leftChars="0" w:firstLine="608" w:firstLineChars="190"/>
        <w:jc w:val="left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.部门预算公开情况。2023年部门预算于1月19日完成批复，2月7日在丰台区政府网站及单位门户网站统一公开。2023年我区预算公开部门（单位）共297家，做到统一标准、统一时间、集中公开。实现除法定涉密信息及涉密部门外，使用财政资金的区级部门及其下属二级单位均向社会进行公开。</w:t>
      </w:r>
    </w:p>
    <w:p>
      <w:pPr>
        <w:widowControl/>
        <w:spacing w:line="560" w:lineRule="exact"/>
        <w:ind w:left="0" w:leftChars="0" w:firstLine="608" w:firstLineChars="190"/>
        <w:jc w:val="left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4.部门决算公开情况。2023年8月28日，经丰台区第十七届人民代表大会常务委员会第十次会议审议通过后，</w:t>
      </w:r>
      <w:r>
        <w:rPr>
          <w:rFonts w:hint="eastAsia" w:ascii="仿宋_GB2312" w:hAnsi="Times New Roman" w:eastAsia="仿宋_GB2312" w:cs="Times New Roman"/>
          <w:sz w:val="32"/>
          <w:szCs w:val="32"/>
          <w:lang w:val="zh-CN" w:eastAsia="zh-CN"/>
        </w:rPr>
        <w:t>我区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321家单位在区政府网站公开2022年部门（单位）决算情况，做到按时报送、及时公开。实现除法定涉密信息外，使用财政资金的部门及其下属二级单位均进行公开。</w:t>
      </w:r>
    </w:p>
    <w:p>
      <w:pPr>
        <w:widowControl/>
        <w:spacing w:line="560" w:lineRule="exact"/>
        <w:ind w:left="0" w:leftChars="0" w:firstLine="608" w:firstLineChars="190"/>
        <w:jc w:val="left"/>
        <w:rPr>
          <w:rFonts w:hint="eastAsia" w:ascii="仿宋_GB2312" w:eastAsia="仿宋_GB2312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（二）加强执法信息公开。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一是通过“执法公示——基本信息”栏目公开我局“行政处罚权力运行流程图(简易流程)、行政处罚权力运行流程图（普通流程）”，公布执法流程。二是通过“政务公开——财政信息”栏目公开代理记账审批结果，</w:t>
      </w:r>
      <w:r>
        <w:rPr>
          <w:rFonts w:hint="eastAsia" w:ascii="仿宋_GB2312" w:eastAsia="仿宋_GB2312"/>
          <w:sz w:val="32"/>
          <w:szCs w:val="32"/>
          <w:lang w:eastAsia="zh-CN"/>
        </w:rPr>
        <w:t>及时响应代理记账申请，加快审批力度，按期发布代理记账审批结果。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2023年，公开</w:t>
      </w:r>
      <w:r>
        <w:rPr>
          <w:rFonts w:hint="eastAsia" w:ascii="仿宋_GB2312" w:eastAsia="仿宋_GB2312"/>
          <w:i w:val="0"/>
          <w:iCs w:val="0"/>
          <w:sz w:val="32"/>
          <w:szCs w:val="32"/>
          <w:lang w:eastAsia="zh-CN"/>
        </w:rPr>
        <w:t>代理记账批复</w:t>
      </w:r>
      <w:r>
        <w:rPr>
          <w:rFonts w:hint="eastAsia" w:ascii="仿宋_GB2312" w:eastAsia="仿宋_GB2312"/>
          <w:i w:val="0"/>
          <w:iCs w:val="0"/>
          <w:sz w:val="32"/>
          <w:szCs w:val="32"/>
          <w:lang w:val="en-US" w:eastAsia="zh-CN"/>
        </w:rPr>
        <w:t>54条。</w:t>
      </w:r>
    </w:p>
    <w:p>
      <w:pPr>
        <w:widowControl/>
        <w:spacing w:line="560" w:lineRule="exact"/>
        <w:ind w:left="0" w:leftChars="0" w:firstLine="608" w:firstLineChars="19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（三）高质量做好直达资金及行政事业性收费信息公开。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坚持每月向社会公开我区直达资金预算安排、直达资金使用情况和中央直达资金主要支出成效。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>严格遵照市级内容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更新《北京市行政事业性收费目录清单》《北京市涉企行政事业性收费目录清单》《北京市政府性基金目录清单》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>。</w:t>
      </w:r>
    </w:p>
    <w:p>
      <w:pPr>
        <w:widowControl/>
        <w:spacing w:line="560" w:lineRule="exact"/>
        <w:ind w:left="0" w:leftChars="0" w:firstLine="608" w:firstLineChars="19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（四）认真做好政府信息公开申请工作。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办公室设置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AB岗，不定期查看传真及政务邮箱，保证能及时接收信息申请严格依申请公开工作办理流程，依托局业务系统，使办件过程可查可追。设置法审流程，所有答复告知书必须经律师审核，保证答复依规合法。按要求发布《政府信息公开指南》并经常检查公开状态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2023年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，区财政局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共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办理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息公开申请27件，除1件未按期补正和1件未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按期交纳信息处理费外，其余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均按规定答复申请人。</w:t>
      </w:r>
    </w:p>
    <w:p>
      <w:pPr>
        <w:pStyle w:val="2"/>
        <w:rPr>
          <w:rFonts w:hint="eastAsia"/>
        </w:rPr>
      </w:pPr>
    </w:p>
    <w:p>
      <w:pPr>
        <w:widowControl/>
        <w:spacing w:line="560" w:lineRule="exact"/>
        <w:ind w:left="0" w:leftChars="0" w:firstLine="608" w:firstLineChars="190"/>
        <w:jc w:val="left"/>
        <w:rPr>
          <w:rFonts w:hint="eastAsia" w:ascii="黑体" w:hAnsi="宋体" w:eastAsia="黑体" w:cs="黑体"/>
          <w:sz w:val="32"/>
          <w:szCs w:val="32"/>
          <w:lang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二、</w:t>
      </w:r>
      <w:r>
        <w:rPr>
          <w:rFonts w:hint="eastAsia" w:ascii="黑体" w:hAnsi="宋体" w:eastAsia="黑体" w:cs="黑体"/>
          <w:sz w:val="32"/>
          <w:szCs w:val="32"/>
          <w:lang w:bidi="ar"/>
        </w:rPr>
        <w:t>主动公开政府信息情况</w:t>
      </w:r>
    </w:p>
    <w:p>
      <w:pPr>
        <w:pStyle w:val="2"/>
      </w:pPr>
    </w:p>
    <w:tbl>
      <w:tblPr>
        <w:tblStyle w:val="5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182</w:t>
            </w:r>
          </w:p>
        </w:tc>
      </w:tr>
    </w:tbl>
    <w:p>
      <w:pPr>
        <w:numPr>
          <w:ilvl w:val="0"/>
          <w:numId w:val="0"/>
        </w:numPr>
        <w:spacing w:line="560" w:lineRule="exact"/>
        <w:ind w:left="630" w:leftChars="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eastAsia="zh-CN" w:bidi="ar"/>
        </w:rPr>
        <w:t>三、</w:t>
      </w:r>
      <w:r>
        <w:rPr>
          <w:rFonts w:hint="eastAsia" w:ascii="黑体" w:hAnsi="宋体" w:eastAsia="黑体" w:cs="黑体"/>
          <w:sz w:val="32"/>
          <w:szCs w:val="32"/>
          <w:lang w:bidi="ar"/>
        </w:rPr>
        <w:t>收到和处理政府信息公开申请情况</w:t>
      </w:r>
    </w:p>
    <w:p>
      <w:pPr>
        <w:ind w:left="629"/>
        <w:rPr>
          <w:rFonts w:hint="eastAsia" w:ascii="黑体" w:hAnsi="宋体" w:eastAsia="黑体" w:cs="黑体"/>
          <w:sz w:val="24"/>
        </w:rPr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19"/>
        <w:gridCol w:w="688"/>
        <w:gridCol w:w="688"/>
        <w:gridCol w:w="688"/>
        <w:gridCol w:w="688"/>
        <w:gridCol w:w="688"/>
        <w:gridCol w:w="689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8" w:type="dxa"/>
            <w:gridSpan w:val="7"/>
            <w:tcBorders>
              <w:top w:val="single" w:color="auto" w:sz="8" w:space="0"/>
              <w:left w:val="single" w:color="auto" w:sz="0" w:space="0"/>
              <w:bottom w:val="wav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1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2" w:type="dxa"/>
            <w:gridSpan w:val="2"/>
            <w:tcBorders>
              <w:top w:val="single" w:color="auto" w:sz="0" w:space="0"/>
              <w:left w:val="single" w:color="auto" w:sz="0" w:space="0"/>
              <w:bottom w:val="wav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4162" w:type="dxa"/>
            <w:gridSpan w:val="2"/>
            <w:tcBorders>
              <w:top w:val="single" w:color="auto" w:sz="0" w:space="0"/>
              <w:left w:val="single" w:color="auto" w:sz="0" w:space="0"/>
              <w:bottom w:val="wav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4162" w:type="dxa"/>
            <w:gridSpan w:val="2"/>
            <w:tcBorders>
              <w:top w:val="single" w:color="auto" w:sz="0" w:space="0"/>
              <w:left w:val="single" w:color="auto" w:sz="0" w:space="0"/>
              <w:bottom w:val="wav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widowControl/>
        <w:ind w:left="420" w:leftChars="200"/>
      </w:pPr>
    </w:p>
    <w:p>
      <w:pPr>
        <w:pStyle w:val="2"/>
        <w:widowControl/>
        <w:ind w:left="420" w:leftChars="200"/>
      </w:pPr>
    </w:p>
    <w:p>
      <w:pPr>
        <w:spacing w:line="560" w:lineRule="exact"/>
        <w:ind w:firstLine="640" w:firstLineChars="20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四、政府信息公开行政复议、行政诉讼情况</w:t>
      </w:r>
    </w:p>
    <w:p>
      <w:pPr>
        <w:widowControl/>
        <w:jc w:val="center"/>
      </w:pPr>
    </w:p>
    <w:tbl>
      <w:tblPr>
        <w:tblStyle w:val="5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widowControl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hint="eastAsia" w:ascii="宋体" w:hAnsi="宋体" w:cs="宋体"/>
          <w:spacing w:val="8"/>
          <w:kern w:val="0"/>
          <w:sz w:val="24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五、存在的主要问题及改进情况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一是提升政府信息公开工作年报的严谨性，做到数据更加详实精准，确保年报的规范格式、发布及时、内容完整。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eastAsia="仿宋_GB2312"/>
          <w:color w:val="FF0000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二是加强信息内容审核，严格保密审查，特别是财政相关数据的保密审核，防止出现失密或失准情况，杜绝或减少错敏字。</w:t>
      </w:r>
    </w:p>
    <w:p>
      <w:pPr>
        <w:ind w:firstLine="640" w:firstLineChars="200"/>
        <w:rPr>
          <w:rFonts w:hint="eastAsia" w:ascii="仿宋_GB2312" w:eastAsia="仿宋_GB2312" w:cs="仿宋_GB2312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val="en-US" w:eastAsia="zh-CN"/>
        </w:rPr>
        <w:t>三是进一步加强预决算公开管理，完善部门预算公开格式、公开内容，</w:t>
      </w:r>
      <w:r>
        <w:rPr>
          <w:rFonts w:hint="eastAsia" w:ascii="仿宋_GB2312" w:eastAsia="仿宋_GB2312"/>
          <w:sz w:val="32"/>
          <w:szCs w:val="32"/>
        </w:rPr>
        <w:t>加强对公开内容的分析研判，舆情反馈工作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以高度负责的态度，采取切实有效措施，做到公开及时、内容完整、形式规范。</w:t>
      </w:r>
    </w:p>
    <w:p>
      <w:pPr>
        <w:widowControl/>
        <w:spacing w:line="560" w:lineRule="exact"/>
        <w:ind w:firstLine="675"/>
        <w:jc w:val="left"/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六、其他需要报告的事项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发出收费通知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件、金额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shd w:val="clear" w:color="auto" w:fill="FFFFFF"/>
          <w:lang w:val="en-US" w:eastAsia="zh-CN"/>
        </w:rPr>
        <w:t>2480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为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2023年第11号申请件，我局于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向申请人发出《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政府信息公开信息处理费收费通知单》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。</w:t>
      </w:r>
    </w:p>
    <w:p>
      <w:pPr>
        <w:widowControl/>
        <w:spacing w:line="560" w:lineRule="exact"/>
        <w:ind w:firstLine="675"/>
        <w:jc w:val="left"/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申请人未向我局交费，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实际收取的总金额为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0。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B6E2A"/>
    <w:rsid w:val="049A4D9B"/>
    <w:rsid w:val="06CF5EF9"/>
    <w:rsid w:val="0B5B6E2A"/>
    <w:rsid w:val="194B618D"/>
    <w:rsid w:val="1AA533B1"/>
    <w:rsid w:val="1D340D8C"/>
    <w:rsid w:val="1F621D56"/>
    <w:rsid w:val="222162A5"/>
    <w:rsid w:val="2610531D"/>
    <w:rsid w:val="265F322D"/>
    <w:rsid w:val="2D0F4A05"/>
    <w:rsid w:val="2D8351A5"/>
    <w:rsid w:val="2D9C34DF"/>
    <w:rsid w:val="3CC770EE"/>
    <w:rsid w:val="3D4A5582"/>
    <w:rsid w:val="3DE97285"/>
    <w:rsid w:val="3E42210C"/>
    <w:rsid w:val="41B76E60"/>
    <w:rsid w:val="46A2496E"/>
    <w:rsid w:val="55E15D10"/>
    <w:rsid w:val="59173887"/>
    <w:rsid w:val="611F677C"/>
    <w:rsid w:val="66BF050E"/>
    <w:rsid w:val="66F069C0"/>
    <w:rsid w:val="6F634C70"/>
    <w:rsid w:val="715F697C"/>
    <w:rsid w:val="7F31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</w:rPr>
  </w:style>
  <w:style w:type="paragraph" w:styleId="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2024-01-02T10:18:00Z</dcterms:created>
  <dc:creator>Ren$hiro</dc:creator>
  <cp:lastModifiedBy>XYSD</cp:lastModifiedBy>
  <dcterms:modified xsi:type="dcterms:W3CDTF">2024-01-15T06:47:16Z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2CE85D57F1AF48EB93787A55E05929E0</vt:lpwstr>
  </property>
</Properties>
</file>