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lang w:bidi="ar"/>
        </w:rPr>
      </w:pPr>
      <w:r>
        <w:rPr>
          <w:rFonts w:hint="eastAsia" w:ascii="方正小标宋简体" w:hAnsi="方正小标宋简体" w:eastAsia="方正小标宋简体" w:cs="方正小标宋简体"/>
          <w:sz w:val="44"/>
          <w:szCs w:val="44"/>
          <w:lang w:eastAsia="zh-CN"/>
        </w:rPr>
        <w:t>北京市丰台区气象局</w:t>
      </w:r>
      <w:r>
        <w:rPr>
          <w:rFonts w:hint="eastAsia" w:ascii="方正小标宋简体" w:hAnsi="方正小标宋简体" w:eastAsia="方正小标宋简体" w:cs="方正小标宋简体"/>
          <w:sz w:val="44"/>
          <w:szCs w:val="44"/>
          <w:lang w:bidi="ar"/>
        </w:rPr>
        <w:t>2023年政府</w:t>
      </w:r>
    </w:p>
    <w:p>
      <w:pPr>
        <w:spacing w:line="560" w:lineRule="exact"/>
        <w:jc w:val="center"/>
        <w:rPr>
          <w:sz w:val="44"/>
          <w:szCs w:val="44"/>
        </w:rPr>
      </w:pPr>
      <w:r>
        <w:rPr>
          <w:rFonts w:hint="eastAsia" w:ascii="方正小标宋简体" w:hAnsi="方正小标宋简体" w:eastAsia="方正小标宋简体" w:cs="方正小标宋简体"/>
          <w:sz w:val="44"/>
          <w:szCs w:val="44"/>
          <w:lang w:bidi="ar"/>
        </w:rPr>
        <w:t>信息公开工作年度报告</w:t>
      </w: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lang w:bidi="ar"/>
        </w:rPr>
        <w:t>　　</w:t>
      </w:r>
      <w:r>
        <w:rPr>
          <w:rFonts w:hint="eastAsia" w:ascii="微软雅黑" w:hAnsi="微软雅黑" w:eastAsia="微软雅黑" w:cs="宋体"/>
          <w:color w:val="404040"/>
          <w:kern w:val="0"/>
          <w:sz w:val="32"/>
          <w:szCs w:val="32"/>
          <w:lang w:bidi="ar"/>
        </w:rPr>
        <w:t xml:space="preserve">   </w:t>
      </w:r>
      <w:r>
        <w:rPr>
          <w:rFonts w:hint="eastAsia" w:ascii="仿宋_GB2312" w:hAnsi="宋体" w:eastAsia="仿宋_GB2312" w:cs="宋体"/>
          <w:spacing w:val="8"/>
          <w:kern w:val="0"/>
          <w:sz w:val="32"/>
          <w:szCs w:val="32"/>
          <w:lang w:bidi="ar"/>
        </w:rPr>
        <w:t>依据《中华人民共和国政府信息公开条例》(以下简称《政府信息公开条例》)第五十条规定，编制本报告。</w:t>
      </w:r>
    </w:p>
    <w:p>
      <w:pPr>
        <w:widowControl/>
        <w:spacing w:line="560" w:lineRule="exact"/>
        <w:ind w:firstLine="672" w:firstLineChars="200"/>
        <w:jc w:val="left"/>
        <w:rPr>
          <w:rFonts w:hint="eastAsia" w:ascii="黑体" w:hAnsi="宋体" w:eastAsia="黑体" w:cs="宋体"/>
          <w:spacing w:val="8"/>
          <w:kern w:val="0"/>
          <w:sz w:val="32"/>
          <w:szCs w:val="32"/>
        </w:rPr>
      </w:pPr>
      <w:r>
        <w:rPr>
          <w:rFonts w:hint="eastAsia" w:ascii="黑体" w:hAnsi="宋体" w:eastAsia="黑体" w:cs="宋体"/>
          <w:spacing w:val="8"/>
          <w:kern w:val="0"/>
          <w:sz w:val="32"/>
          <w:szCs w:val="32"/>
          <w:lang w:bidi="ar"/>
        </w:rPr>
        <w:t>一、总体情况</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1.主动公开</w:t>
      </w:r>
    </w:p>
    <w:p>
      <w:pPr>
        <w:pStyle w:val="2"/>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lang w:eastAsia="zh-CN"/>
        </w:rPr>
        <w:t>按照《北京市丰台区</w:t>
      </w:r>
      <w:r>
        <w:rPr>
          <w:rFonts w:hint="eastAsia" w:ascii="仿宋_GB2312" w:eastAsia="仿宋_GB2312"/>
          <w:sz w:val="32"/>
          <w:szCs w:val="32"/>
          <w:lang w:val="en-US" w:eastAsia="zh-CN"/>
        </w:rPr>
        <w:t>2023</w:t>
      </w:r>
      <w:r>
        <w:rPr>
          <w:rFonts w:hint="eastAsia" w:ascii="仿宋_GB2312" w:eastAsia="仿宋_GB2312"/>
          <w:sz w:val="32"/>
          <w:szCs w:val="32"/>
        </w:rPr>
        <w:t>年政务公开工作要点</w:t>
      </w:r>
      <w:r>
        <w:rPr>
          <w:rFonts w:hint="eastAsia" w:ascii="仿宋_GB2312" w:eastAsia="仿宋_GB2312"/>
          <w:sz w:val="32"/>
          <w:szCs w:val="32"/>
          <w:lang w:eastAsia="zh-CN"/>
        </w:rPr>
        <w:t>》要求，我局通过丰台区政府网站部门动态、政策解读、部门文件、丰台气象微博、微信等多渠道进行信息公开。</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通过区政府网站共</w:t>
      </w:r>
      <w:r>
        <w:rPr>
          <w:rFonts w:hint="eastAsia" w:ascii="仿宋_GB2312" w:eastAsia="仿宋_GB2312"/>
          <w:sz w:val="32"/>
          <w:szCs w:val="32"/>
        </w:rPr>
        <w:t>主动公</w:t>
      </w:r>
      <w:r>
        <w:rPr>
          <w:rFonts w:hint="eastAsia" w:ascii="仿宋_GB2312" w:eastAsia="仿宋_GB2312"/>
          <w:sz w:val="32"/>
          <w:szCs w:val="32"/>
          <w:highlight w:val="none"/>
        </w:rPr>
        <w:t>开</w:t>
      </w:r>
      <w:r>
        <w:rPr>
          <w:rFonts w:hint="eastAsia" w:ascii="仿宋_GB2312" w:eastAsia="仿宋_GB2312"/>
          <w:sz w:val="32"/>
          <w:szCs w:val="32"/>
          <w:highlight w:val="none"/>
          <w:lang w:val="en-US" w:eastAsia="zh-CN"/>
        </w:rPr>
        <w:t>29</w:t>
      </w:r>
      <w:r>
        <w:rPr>
          <w:rFonts w:hint="eastAsia" w:ascii="仿宋_GB2312" w:eastAsia="仿宋_GB2312"/>
          <w:sz w:val="32"/>
          <w:szCs w:val="32"/>
          <w:highlight w:val="none"/>
        </w:rPr>
        <w:t>条政府信息</w:t>
      </w:r>
      <w:r>
        <w:rPr>
          <w:rFonts w:hint="eastAsia" w:ascii="仿宋_GB2312" w:eastAsia="仿宋_GB2312"/>
          <w:sz w:val="32"/>
          <w:szCs w:val="32"/>
          <w:highlight w:val="none"/>
          <w:lang w:eastAsia="zh-CN"/>
        </w:rPr>
        <w:t>，通过北京市气象局门户网站主动公开政府信息</w:t>
      </w:r>
      <w:r>
        <w:rPr>
          <w:rFonts w:hint="eastAsia" w:ascii="仿宋_GB2312" w:eastAsia="仿宋_GB2312"/>
          <w:sz w:val="32"/>
          <w:szCs w:val="32"/>
          <w:highlight w:val="none"/>
          <w:lang w:val="en-US" w:eastAsia="zh-CN"/>
        </w:rPr>
        <w:t>8</w:t>
      </w:r>
      <w:r>
        <w:rPr>
          <w:rFonts w:hint="eastAsia" w:ascii="仿宋_GB2312" w:eastAsia="仿宋_GB2312"/>
          <w:sz w:val="32"/>
          <w:szCs w:val="32"/>
          <w:lang w:val="en-US" w:eastAsia="zh-CN"/>
        </w:rPr>
        <w:t>条，</w:t>
      </w:r>
      <w:r>
        <w:rPr>
          <w:rFonts w:hint="eastAsia" w:ascii="仿宋_GB2312" w:eastAsia="仿宋_GB2312"/>
          <w:sz w:val="32"/>
          <w:szCs w:val="32"/>
          <w:lang w:eastAsia="zh-CN"/>
        </w:rPr>
        <w:t>通过政务微博发布</w:t>
      </w:r>
      <w:r>
        <w:rPr>
          <w:rFonts w:hint="eastAsia" w:ascii="仿宋_GB2312" w:eastAsia="仿宋_GB2312"/>
          <w:sz w:val="32"/>
          <w:szCs w:val="32"/>
          <w:highlight w:val="none"/>
          <w:lang w:val="en-US" w:eastAsia="zh-CN"/>
        </w:rPr>
        <w:t>1200余</w:t>
      </w:r>
      <w:r>
        <w:rPr>
          <w:rFonts w:hint="eastAsia" w:ascii="仿宋_GB2312" w:eastAsia="仿宋_GB2312"/>
          <w:sz w:val="32"/>
          <w:szCs w:val="32"/>
          <w:highlight w:val="none"/>
          <w:lang w:val="en-US" w:eastAsia="zh-CN"/>
        </w:rPr>
        <w:t>条，</w:t>
      </w:r>
      <w:r>
        <w:rPr>
          <w:rFonts w:hint="eastAsia" w:ascii="仿宋_GB2312" w:eastAsia="仿宋_GB2312"/>
          <w:sz w:val="32"/>
          <w:szCs w:val="32"/>
          <w:highlight w:val="none"/>
          <w:lang w:eastAsia="zh-CN"/>
        </w:rPr>
        <w:t>政务微信发布</w:t>
      </w:r>
      <w:r>
        <w:rPr>
          <w:rFonts w:hint="eastAsia" w:ascii="仿宋_GB2312" w:eastAsia="仿宋_GB2312"/>
          <w:sz w:val="32"/>
          <w:szCs w:val="32"/>
          <w:highlight w:val="none"/>
          <w:lang w:val="en-US" w:eastAsia="zh-CN"/>
        </w:rPr>
        <w:t>1300余</w:t>
      </w:r>
      <w:r>
        <w:rPr>
          <w:rFonts w:hint="eastAsia" w:ascii="仿宋_GB2312" w:eastAsia="仿宋_GB2312"/>
          <w:sz w:val="32"/>
          <w:szCs w:val="32"/>
          <w:highlight w:val="none"/>
          <w:lang w:val="en-US" w:eastAsia="zh-CN"/>
        </w:rPr>
        <w:t>条</w:t>
      </w:r>
      <w:r>
        <w:rPr>
          <w:rFonts w:hint="eastAsia" w:ascii="仿宋_GB2312" w:eastAsia="仿宋_GB2312"/>
          <w:sz w:val="32"/>
          <w:szCs w:val="32"/>
          <w:highlight w:val="none"/>
          <w:lang w:eastAsia="zh-CN"/>
        </w:rPr>
        <w:t>。</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2.依申请公开</w:t>
      </w:r>
    </w:p>
    <w:p>
      <w:pPr>
        <w:pStyle w:val="2"/>
        <w:rPr>
          <w:rFonts w:hint="eastAsia" w:ascii="仿宋_GB2312" w:eastAsia="仿宋_GB2312"/>
          <w:sz w:val="32"/>
          <w:szCs w:val="32"/>
        </w:rPr>
      </w:pPr>
      <w:r>
        <w:rPr>
          <w:rFonts w:hint="eastAsia"/>
        </w:rPr>
        <w:t xml:space="preserve">      </w:t>
      </w:r>
      <w:r>
        <w:rPr>
          <w:rFonts w:hint="eastAsia" w:ascii="仿宋_GB2312" w:eastAsia="仿宋_GB2312"/>
          <w:sz w:val="32"/>
          <w:szCs w:val="32"/>
        </w:rPr>
        <w:t>本局及时、规范更新发布依申请公开指南，</w:t>
      </w:r>
      <w:r>
        <w:rPr>
          <w:rFonts w:hint="eastAsia" w:ascii="仿宋_GB2312" w:eastAsia="仿宋_GB2312"/>
          <w:sz w:val="32"/>
          <w:szCs w:val="32"/>
          <w:lang w:eastAsia="zh-CN"/>
        </w:rPr>
        <w:t>确保申请渠道畅通。</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年共收到政府信息公开申请</w:t>
      </w:r>
      <w:r>
        <w:rPr>
          <w:rFonts w:hint="eastAsia" w:ascii="仿宋_GB2312" w:eastAsia="仿宋_GB2312"/>
          <w:sz w:val="32"/>
          <w:szCs w:val="32"/>
          <w:lang w:val="en-US" w:eastAsia="zh-CN"/>
        </w:rPr>
        <w:t>1</w:t>
      </w:r>
      <w:r>
        <w:rPr>
          <w:rFonts w:hint="eastAsia" w:ascii="仿宋_GB2312" w:eastAsia="仿宋_GB2312"/>
          <w:sz w:val="32"/>
          <w:szCs w:val="32"/>
        </w:rPr>
        <w:t>件，</w:t>
      </w:r>
      <w:r>
        <w:rPr>
          <w:rFonts w:hint="eastAsia" w:ascii="仿宋_GB2312" w:eastAsia="仿宋_GB2312"/>
          <w:sz w:val="32"/>
          <w:szCs w:val="32"/>
          <w:lang w:eastAsia="zh-CN"/>
        </w:rPr>
        <w:t>申请人为自然人，</w:t>
      </w:r>
      <w:r>
        <w:rPr>
          <w:rFonts w:hint="eastAsia" w:ascii="仿宋_GB2312" w:eastAsia="仿宋_GB2312"/>
          <w:sz w:val="32"/>
          <w:szCs w:val="32"/>
        </w:rPr>
        <w:t>以电子邮件形式申请，按</w:t>
      </w:r>
      <w:r>
        <w:rPr>
          <w:rFonts w:hint="eastAsia" w:ascii="仿宋_GB2312" w:eastAsia="仿宋_GB2312"/>
          <w:sz w:val="32"/>
          <w:szCs w:val="32"/>
          <w:lang w:eastAsia="zh-CN"/>
        </w:rPr>
        <w:t>照</w:t>
      </w:r>
      <w:r>
        <w:rPr>
          <w:rFonts w:hint="eastAsia" w:ascii="仿宋_GB2312" w:eastAsia="仿宋_GB2312"/>
          <w:sz w:val="32"/>
          <w:szCs w:val="32"/>
        </w:rPr>
        <w:t>《中华人民共和国政府信息公开条例》规定，按期予以答复。全年未收取依申请公开政府信息的费用。</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3.政府信息管理</w:t>
      </w:r>
    </w:p>
    <w:p>
      <w:pPr>
        <w:pStyle w:val="2"/>
        <w:ind w:firstLine="640" w:firstLineChars="200"/>
        <w:rPr>
          <w:rFonts w:hint="eastAsia" w:ascii="仿宋_GB2312" w:eastAsia="仿宋_GB2312"/>
          <w:sz w:val="32"/>
          <w:szCs w:val="32"/>
        </w:rPr>
      </w:pPr>
      <w:r>
        <w:rPr>
          <w:rFonts w:hint="eastAsia" w:ascii="仿宋_GB2312" w:eastAsia="仿宋_GB2312"/>
          <w:sz w:val="32"/>
          <w:szCs w:val="32"/>
        </w:rPr>
        <w:t>按照</w:t>
      </w:r>
      <w:r>
        <w:rPr>
          <w:rFonts w:hint="eastAsia" w:ascii="仿宋_GB2312" w:eastAsia="仿宋_GB2312"/>
          <w:sz w:val="32"/>
          <w:szCs w:val="32"/>
          <w:lang w:eastAsia="zh-CN"/>
        </w:rPr>
        <w:t>《丰台区政务公开领导小组办公室关于印发〈</w:t>
      </w:r>
      <w:r>
        <w:rPr>
          <w:rFonts w:hint="eastAsia" w:ascii="仿宋_GB2312" w:eastAsia="仿宋_GB2312"/>
          <w:sz w:val="32"/>
          <w:szCs w:val="32"/>
        </w:rPr>
        <w:t>丰台区202</w:t>
      </w:r>
      <w:r>
        <w:rPr>
          <w:rFonts w:hint="eastAsia" w:ascii="仿宋_GB2312" w:eastAsia="仿宋_GB2312"/>
          <w:sz w:val="32"/>
          <w:szCs w:val="32"/>
          <w:lang w:val="en-US" w:eastAsia="zh-CN"/>
        </w:rPr>
        <w:t>3</w:t>
      </w:r>
      <w:r>
        <w:rPr>
          <w:rFonts w:hint="eastAsia" w:ascii="仿宋_GB2312" w:eastAsia="仿宋_GB2312"/>
          <w:sz w:val="32"/>
          <w:szCs w:val="32"/>
        </w:rPr>
        <w:t>年政务公开工作要点</w:t>
      </w:r>
      <w:r>
        <w:rPr>
          <w:rFonts w:hint="eastAsia" w:ascii="仿宋_GB2312" w:eastAsia="仿宋_GB2312"/>
          <w:sz w:val="32"/>
          <w:szCs w:val="32"/>
          <w:lang w:eastAsia="zh-CN"/>
        </w:rPr>
        <w:t>〉的通知》</w:t>
      </w:r>
      <w:r>
        <w:rPr>
          <w:rFonts w:hint="eastAsia" w:ascii="仿宋_GB2312" w:eastAsia="仿宋_GB2312"/>
          <w:sz w:val="32"/>
          <w:szCs w:val="32"/>
        </w:rPr>
        <w:t>（丰</w:t>
      </w:r>
      <w:r>
        <w:rPr>
          <w:rFonts w:hint="eastAsia" w:ascii="仿宋_GB2312" w:eastAsia="仿宋_GB2312"/>
          <w:sz w:val="32"/>
          <w:szCs w:val="32"/>
          <w:lang w:eastAsia="zh-CN"/>
        </w:rPr>
        <w:t>公开办发</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号）要求，</w:t>
      </w:r>
      <w:r>
        <w:rPr>
          <w:rFonts w:hint="eastAsia" w:ascii="仿宋_GB2312" w:eastAsia="仿宋_GB2312"/>
          <w:sz w:val="32"/>
          <w:szCs w:val="32"/>
          <w:lang w:eastAsia="zh-CN"/>
        </w:rPr>
        <w:t>结合我局实际，认真贯彻落实，</w:t>
      </w:r>
      <w:r>
        <w:rPr>
          <w:rFonts w:hint="eastAsia" w:ascii="仿宋_GB2312" w:eastAsia="仿宋_GB2312"/>
          <w:sz w:val="32"/>
          <w:szCs w:val="32"/>
          <w:lang w:val="en-US" w:eastAsia="zh-CN"/>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年本局严格执行《中华人民共和国政府信息公开条例》和《北京市政府信息公开规定》</w:t>
      </w:r>
      <w:r>
        <w:rPr>
          <w:rFonts w:hint="eastAsia" w:ascii="仿宋_GB2312" w:eastAsia="仿宋_GB2312"/>
          <w:sz w:val="32"/>
          <w:szCs w:val="32"/>
          <w:lang w:eastAsia="zh-CN"/>
        </w:rPr>
        <w:t>，严格履行法定公开义务，加强基础性规范性机制制度建设，按时发布政府信息及主动公开动态，在规定时间内完成依申请公开办理。</w:t>
      </w:r>
      <w:r>
        <w:rPr>
          <w:rFonts w:hint="eastAsia" w:ascii="仿宋_GB2312" w:eastAsia="仿宋_GB2312"/>
          <w:sz w:val="32"/>
          <w:szCs w:val="32"/>
        </w:rPr>
        <w:t>在北京市丰台区政府门户网站和北京市气象局门户网站进行主动公开，加强政策解读，回应社会关切，扩大公众参与，“应公开、尽公开”，充分发挥公开促落实、促规范、促服务的作用，进一步提升政府的执行力和公信力，助力区域平稳健康持续发展，进一步提升政务公开工作水平。</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4.平台建设</w:t>
      </w:r>
    </w:p>
    <w:p>
      <w:pPr>
        <w:pStyle w:val="2"/>
        <w:rPr>
          <w:rFonts w:hint="eastAsia" w:ascii="仿宋_GB2312" w:eastAsia="仿宋_GB2312"/>
          <w:sz w:val="32"/>
          <w:szCs w:val="32"/>
        </w:rPr>
      </w:pPr>
      <w:r>
        <w:rPr>
          <w:rFonts w:hint="eastAsia" w:ascii="仿宋_GB2312" w:eastAsia="仿宋_GB2312"/>
          <w:sz w:val="32"/>
          <w:szCs w:val="32"/>
        </w:rPr>
        <w:t xml:space="preserve">    本局未进行自有信息公开平台建设，我局主动公开信息均通过丰台区政府及北京市气象局的门户网站进行公开。</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5.教育培训</w:t>
      </w:r>
    </w:p>
    <w:p>
      <w:pPr>
        <w:pStyle w:val="2"/>
        <w:ind w:firstLine="640" w:firstLineChars="200"/>
        <w:rPr>
          <w:rFonts w:hint="default" w:ascii="仿宋_GB2312" w:eastAsia="仿宋_GB2312"/>
          <w:sz w:val="32"/>
          <w:szCs w:val="32"/>
          <w:highlight w:val="yellow"/>
          <w:lang w:val="en-US" w:eastAsia="zh-CN"/>
        </w:rPr>
      </w:pPr>
      <w:r>
        <w:rPr>
          <w:rFonts w:hint="eastAsia" w:ascii="仿宋_GB2312" w:eastAsia="仿宋_GB2312"/>
          <w:sz w:val="32"/>
          <w:szCs w:val="32"/>
          <w:highlight w:val="none"/>
        </w:rPr>
        <w:t xml:space="preserve"> 202</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年共计参加政务信息公开业务培训</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次，</w:t>
      </w:r>
      <w:r>
        <w:rPr>
          <w:rFonts w:hint="eastAsia" w:ascii="仿宋_GB2312" w:eastAsia="仿宋_GB2312"/>
          <w:sz w:val="32"/>
          <w:szCs w:val="32"/>
          <w:highlight w:val="none"/>
        </w:rPr>
        <w:t>分别是</w:t>
      </w:r>
      <w:r>
        <w:rPr>
          <w:rFonts w:hint="eastAsia" w:ascii="仿宋_GB2312" w:eastAsia="仿宋_GB2312"/>
          <w:sz w:val="32"/>
          <w:szCs w:val="32"/>
          <w:highlight w:val="none"/>
          <w:lang w:val="en-US" w:eastAsia="zh-CN"/>
        </w:rPr>
        <w:t>4月6日市局记者站开展的政务新闻写作培训</w:t>
      </w:r>
      <w:r>
        <w:rPr>
          <w:rFonts w:hint="eastAsia" w:ascii="仿宋_GB2312" w:hAnsi="宋体" w:eastAsia="仿宋_GB2312"/>
          <w:sz w:val="32"/>
          <w:szCs w:val="32"/>
          <w:highlight w:val="none"/>
          <w:lang w:val="en-US" w:eastAsia="zh-CN"/>
        </w:rPr>
        <w:t>，7月13日参加丰台区政务服务局举办的依申请公开培训，11月1日参加北京市气象局举办的2023年气象融媒体业务培训班。</w:t>
      </w:r>
    </w:p>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主动公开政府信息情况</w:t>
      </w:r>
    </w:p>
    <w:p>
      <w:pPr>
        <w:pStyle w:val="2"/>
        <w:widowControl/>
      </w:pPr>
    </w:p>
    <w:p>
      <w:pPr>
        <w:pStyle w:val="2"/>
        <w:widowControl/>
      </w:pPr>
    </w:p>
    <w:tbl>
      <w:tblPr>
        <w:tblStyle w:val="4"/>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现行有效件数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ascii="宋体" w:hAnsi="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hAnsi="Times New Roman" w:eastAsia="宋体" w:cs="宋体"/>
                <w:sz w:val="24"/>
                <w:lang w:val="en-US" w:eastAsia="zh-CN"/>
              </w:rPr>
            </w:pPr>
            <w:r>
              <w:rPr>
                <w:rFonts w:hint="eastAsia" w:ascii="宋体" w:cs="宋体"/>
                <w:sz w:val="24"/>
                <w:lang w:val="en-US" w:eastAsia="zh-CN"/>
              </w:rPr>
              <w:t>0</w:t>
            </w:r>
          </w:p>
        </w:tc>
      </w:tr>
    </w:tbl>
    <w:p>
      <w:pPr>
        <w:pStyle w:val="2"/>
        <w:widowControl/>
      </w:pPr>
    </w:p>
    <w:p>
      <w:pPr>
        <w:pStyle w:val="2"/>
        <w:widowControl/>
      </w:pPr>
    </w:p>
    <w:p>
      <w:pPr>
        <w:pStyle w:val="2"/>
        <w:widowControl/>
      </w:pPr>
    </w:p>
    <w:p/>
    <w:p>
      <w:pPr>
        <w:pStyle w:val="3"/>
      </w:pPr>
    </w:p>
    <w:p/>
    <w:p>
      <w:pPr>
        <w:pStyle w:val="3"/>
      </w:pPr>
    </w:p>
    <w:p>
      <w:pPr>
        <w:numPr>
          <w:ilvl w:val="0"/>
          <w:numId w:val="1"/>
        </w:numPr>
        <w:spacing w:line="560" w:lineRule="exact"/>
        <w:ind w:firstLine="640"/>
        <w:rPr>
          <w:rFonts w:hint="eastAsia" w:ascii="黑体" w:hAnsi="宋体" w:eastAsia="黑体" w:cs="黑体"/>
          <w:sz w:val="32"/>
          <w:szCs w:val="32"/>
        </w:rPr>
      </w:pPr>
      <w:r>
        <w:rPr>
          <w:rFonts w:hint="eastAsia" w:ascii="黑体" w:hAnsi="宋体" w:eastAsia="黑体" w:cs="黑体"/>
          <w:sz w:val="32"/>
          <w:szCs w:val="32"/>
          <w:lang w:bidi="ar"/>
        </w:rPr>
        <w:t>收到和处理政府信息公开申请情况</w:t>
      </w:r>
    </w:p>
    <w:p>
      <w:pPr>
        <w:ind w:left="629"/>
        <w:rPr>
          <w:rFonts w:hint="eastAsia" w:ascii="黑体" w:hAnsi="宋体" w:eastAsia="黑体" w:cs="黑体"/>
          <w:sz w:val="24"/>
        </w:rPr>
      </w:pP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688" w:type="dxa"/>
            <w:vMerge w:val="restart"/>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440" w:type="dxa"/>
            <w:gridSpan w:val="5"/>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8" w:hRule="atLeast"/>
          <w:jc w:val="center"/>
        </w:trPr>
        <w:tc>
          <w:tcPr>
            <w:tcW w:w="4931" w:type="dxa"/>
            <w:gridSpan w:val="3"/>
            <w:vMerge w:val="continue"/>
            <w:tcBorders>
              <w:top w:val="single" w:color="auto" w:sz="8" w:space="0"/>
              <w:left w:val="single" w:color="auto" w:sz="8" w:space="0"/>
              <w:bottom w:val="inset" w:color="auto" w:sz="8" w:space="0"/>
              <w:right w:val="single" w:color="auto" w:sz="8" w:space="0"/>
            </w:tcBorders>
            <w:shd w:val="clear" w:color="auto" w:fill="9BC2E6"/>
            <w:noWrap w:val="0"/>
            <w:tcMar>
              <w:left w:w="108" w:type="dxa"/>
              <w:right w:w="108" w:type="dxa"/>
            </w:tcMar>
            <w:vAlign w:val="center"/>
          </w:tcPr>
          <w:p>
            <w:pPr>
              <w:rPr>
                <w:rFonts w:ascii="Times New Roman" w:hAnsi="Times New Roman"/>
                <w:sz w:val="20"/>
                <w:szCs w:val="20"/>
              </w:rPr>
            </w:pPr>
          </w:p>
        </w:tc>
        <w:tc>
          <w:tcPr>
            <w:tcW w:w="688" w:type="dxa"/>
            <w:vMerge w:val="continue"/>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688" w:type="dxa"/>
            <w:tcBorders>
              <w:top w:val="single" w:color="auto" w:sz="0"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688" w:type="dxa"/>
            <w:tcBorders>
              <w:top w:val="single" w:color="auto" w:sz="8" w:space="0"/>
              <w:left w:val="single" w:color="auto" w:sz="0" w:space="0"/>
              <w:bottom w:val="single" w:color="auto" w:sz="8" w:space="0"/>
              <w:right w:val="single" w:color="auto" w:sz="8" w:space="0"/>
            </w:tcBorders>
            <w:shd w:val="clear" w:color="auto" w:fill="9BC2E6"/>
            <w:noWrap w:val="0"/>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689" w:type="dxa"/>
            <w:vMerge w:val="continue"/>
            <w:tcBorders>
              <w:top w:val="single" w:color="auto" w:sz="8" w:space="0"/>
              <w:left w:val="single" w:color="auto" w:sz="0" w:space="0"/>
              <w:bottom w:val="inset" w:color="auto" w:sz="8" w:space="0"/>
              <w:right w:val="single" w:color="auto" w:sz="8" w:space="0"/>
            </w:tcBorders>
            <w:shd w:val="clear" w:color="auto" w:fill="9BC2E6"/>
            <w:noWrap w:val="0"/>
            <w:tcMar>
              <w:left w:w="57" w:type="dxa"/>
              <w:right w:w="57" w:type="dxa"/>
            </w:tcMar>
            <w:vAlign w:val="center"/>
          </w:tcPr>
          <w:p>
            <w:pPr>
              <w:rPr>
                <w:rFonts w:ascii="Times New Roman" w:hAnsi="Times New Roman"/>
                <w:sz w:val="20"/>
                <w:szCs w:val="20"/>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28" w:hRule="atLeast"/>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hint="eastAsia" w:eastAsia="宋体"/>
                <w:lang w:val="en-US" w:eastAsia="zh-CN"/>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widowControl/>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single" w:color="auto" w:sz="0"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single" w:color="auto" w:sz="0" w:space="0"/>
              <w:left w:val="single" w:color="auto" w:sz="0" w:space="0"/>
              <w:bottom w:val="inset"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restart"/>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943" w:type="dxa"/>
            <w:vMerge w:val="continue"/>
            <w:tcBorders>
              <w:top w:val="inset" w:color="auto" w:sz="8" w:space="0"/>
              <w:left w:val="single" w:color="auto" w:sz="0" w:space="0"/>
              <w:bottom w:val="inset" w:color="auto" w:sz="8" w:space="0"/>
              <w:right w:val="single" w:color="auto" w:sz="8" w:space="0"/>
            </w:tcBorders>
            <w:shd w:val="clear" w:color="auto" w:fill="DDEBF7"/>
            <w:noWrap w:val="0"/>
            <w:tcMar>
              <w:left w:w="57" w:type="dxa"/>
              <w:right w:w="57" w:type="dxa"/>
            </w:tcMar>
            <w:vAlign w:val="center"/>
          </w:tcPr>
          <w:p>
            <w:pPr>
              <w:rPr>
                <w:rFonts w:ascii="Times New Roman" w:hAnsi="Times New Roman"/>
                <w:sz w:val="20"/>
                <w:szCs w:val="20"/>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default"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single" w:color="auto" w:sz="0" w:space="0"/>
              <w:left w:val="single" w:color="auto" w:sz="8" w:space="0"/>
              <w:bottom w:val="inset" w:color="auto" w:sz="8" w:space="0"/>
              <w:right w:val="single" w:color="auto" w:sz="8" w:space="0"/>
            </w:tcBorders>
            <w:shd w:val="clear" w:color="auto" w:fill="BDD7EE"/>
            <w:noWrap w:val="0"/>
            <w:tcMar>
              <w:left w:w="57" w:type="dxa"/>
              <w:right w:w="57" w:type="dxa"/>
            </w:tcMar>
            <w:vAlign w:val="center"/>
          </w:tcPr>
          <w:p>
            <w:pPr>
              <w:rPr>
                <w:rFonts w:ascii="Times New Roman" w:hAnsi="Times New Roman"/>
                <w:sz w:val="20"/>
                <w:szCs w:val="20"/>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single" w:color="auto" w:sz="0" w:space="0"/>
              <w:left w:val="single" w:color="auto" w:sz="8" w:space="0"/>
              <w:bottom w:val="single" w:color="auto" w:sz="8" w:space="0"/>
              <w:right w:val="single" w:color="auto" w:sz="8" w:space="0"/>
            </w:tcBorders>
            <w:shd w:val="clear" w:color="auto" w:fill="BDD7EE"/>
            <w:noWrap w:val="0"/>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0" w:type="auto"/>
            <w:tcBorders>
              <w:top w:val="inset" w:color="auto" w:sz="6" w:space="0"/>
              <w:left w:val="single" w:color="auto" w:sz="0" w:space="0"/>
              <w:bottom w:val="inset" w:color="auto" w:sz="6" w:space="0"/>
              <w:right w:val="inset" w:color="auto" w:sz="6" w:space="0"/>
            </w:tcBorders>
            <w:noWrap w:val="0"/>
            <w:vAlign w:val="center"/>
          </w:tcPr>
          <w:p>
            <w:pPr>
              <w:widowControl/>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r>
    </w:tbl>
    <w:p>
      <w:pPr>
        <w:pStyle w:val="2"/>
        <w:widowControl/>
        <w:ind w:left="420" w:leftChars="200"/>
      </w:pPr>
    </w:p>
    <w:p>
      <w:pPr>
        <w:pStyle w:val="2"/>
        <w:widowControl/>
        <w:ind w:left="420" w:leftChars="200"/>
      </w:pPr>
    </w:p>
    <w:p/>
    <w:p>
      <w:pPr>
        <w:pStyle w:val="3"/>
      </w:pPr>
    </w:p>
    <w:p/>
    <w:p>
      <w:pPr>
        <w:spacing w:line="560" w:lineRule="exact"/>
        <w:ind w:firstLine="640" w:firstLineChars="200"/>
        <w:rPr>
          <w:rFonts w:hint="eastAsia" w:ascii="黑体" w:hAnsi="宋体" w:eastAsia="黑体" w:cs="黑体"/>
          <w:sz w:val="32"/>
          <w:szCs w:val="32"/>
        </w:rPr>
      </w:pPr>
      <w:r>
        <w:rPr>
          <w:rFonts w:hint="eastAsia" w:ascii="黑体" w:hAnsi="宋体" w:eastAsia="黑体" w:cs="黑体"/>
          <w:sz w:val="32"/>
          <w:szCs w:val="32"/>
          <w:lang w:bidi="ar"/>
        </w:rPr>
        <w:t>四、政府信息公开行政复议、行政诉讼情况</w:t>
      </w:r>
    </w:p>
    <w:p>
      <w:pPr>
        <w:widowControl/>
        <w:jc w:val="center"/>
      </w:pPr>
    </w:p>
    <w:tbl>
      <w:tblPr>
        <w:tblStyle w:val="4"/>
        <w:tblW w:w="9748"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ascii="Times New Roman" w:hAnsi="Times New Roman"/>
                <w:sz w:val="20"/>
                <w:szCs w:val="20"/>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kern w:val="2"/>
                <w:sz w:val="21"/>
                <w:szCs w:val="24"/>
                <w:lang w:val="en-US" w:eastAsia="zh-CN" w:bidi="ar-SA"/>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default" w:ascii="Times New Roman" w:hAnsi="Times New Roman" w:eastAsia="宋体" w:cs="Times New Roman"/>
                <w:kern w:val="2"/>
                <w:sz w:val="21"/>
                <w:szCs w:val="24"/>
                <w:lang w:val="en-US" w:eastAsia="zh-CN" w:bidi="ar-SA"/>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ascii="Times New Roman" w:hAnsi="Times New Roman" w:eastAsia="宋体" w:cs="Times New Roman"/>
                <w:kern w:val="2"/>
                <w:sz w:val="21"/>
                <w:szCs w:val="24"/>
                <w:lang w:val="en-US" w:eastAsia="zh-CN" w:bidi="ar-SA"/>
              </w:rPr>
            </w:pPr>
            <w:r>
              <w:rPr>
                <w:rFonts w:hint="eastAsia" w:ascii="黑体" w:hAnsi="宋体" w:eastAsia="黑体" w:cs="黑体"/>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center"/>
              <w:rPr>
                <w:rFonts w:hint="eastAsia" w:ascii="Times New Roman" w:hAnsi="Times New Roman" w:eastAsia="宋体" w:cs="Times New Roman"/>
                <w:kern w:val="2"/>
                <w:sz w:val="21"/>
                <w:szCs w:val="24"/>
                <w:lang w:val="en-US" w:eastAsia="zh-CN" w:bidi="ar-SA"/>
              </w:rPr>
            </w:pPr>
            <w:r>
              <w:rPr>
                <w:rFonts w:hint="eastAsia"/>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hAnsi="Times New Roman" w:eastAsia="宋体" w:cs="Times New Roman"/>
                <w:kern w:val="2"/>
                <w:sz w:val="24"/>
                <w:szCs w:val="24"/>
                <w:lang w:val="en-US" w:eastAsia="zh-CN" w:bidi="ar-SA"/>
              </w:rPr>
            </w:pPr>
            <w:r>
              <w:rPr>
                <w:rFonts w:hint="eastAsia" w:ascii="宋体"/>
                <w:sz w:val="24"/>
                <w:szCs w:val="24"/>
                <w:lang w:val="en-US" w:eastAsia="zh-CN"/>
              </w:rPr>
              <w:t>0</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hint="eastAsia" w:ascii="黑体" w:hAnsi="宋体" w:eastAsia="黑体" w:cs="宋体"/>
          <w:spacing w:val="8"/>
          <w:kern w:val="0"/>
          <w:sz w:val="32"/>
          <w:szCs w:val="32"/>
          <w:lang w:bidi="ar"/>
        </w:rPr>
        <w:t>五、存在的主要问题及改进情况</w:t>
      </w:r>
    </w:p>
    <w:p>
      <w:pPr>
        <w:widowControl/>
        <w:spacing w:line="560" w:lineRule="exact"/>
        <w:ind w:firstLine="675"/>
        <w:jc w:val="left"/>
        <w:rPr>
          <w:rFonts w:hint="eastAsia" w:ascii="仿宋_GB2312" w:hAnsi="宋体" w:eastAsia="仿宋_GB2312" w:cs="宋体"/>
          <w:spacing w:val="8"/>
          <w:kern w:val="0"/>
          <w:sz w:val="32"/>
          <w:szCs w:val="32"/>
          <w:highlight w:val="none"/>
          <w:lang w:eastAsia="zh-CN"/>
        </w:rPr>
      </w:pPr>
      <w:r>
        <w:rPr>
          <w:rFonts w:hint="eastAsia" w:ascii="仿宋_GB2312" w:hAnsi="宋体" w:eastAsia="仿宋_GB2312" w:cs="宋体"/>
          <w:spacing w:val="8"/>
          <w:kern w:val="0"/>
          <w:sz w:val="32"/>
          <w:szCs w:val="32"/>
          <w:highlight w:val="none"/>
          <w:lang w:eastAsia="zh-CN"/>
        </w:rPr>
        <w:t>一是进一步提高工作人员业务能力，明确任务分工，强化主动公开意识，加强政府信息公开条例学习。二是根据主动公开全清单内容，加大宣传政府信息公开，</w:t>
      </w:r>
      <w:r>
        <w:rPr>
          <w:rFonts w:hint="eastAsia" w:ascii="仿宋_GB2312" w:hAnsi="宋体" w:eastAsia="仿宋_GB2312" w:cs="宋体"/>
          <w:spacing w:val="8"/>
          <w:kern w:val="0"/>
          <w:sz w:val="32"/>
          <w:szCs w:val="32"/>
          <w:highlight w:val="none"/>
          <w:lang w:eastAsia="zh-CN"/>
        </w:rPr>
        <w:t>提高</w:t>
      </w:r>
      <w:r>
        <w:rPr>
          <w:rFonts w:hint="eastAsia" w:ascii="仿宋_GB2312" w:hAnsi="宋体" w:eastAsia="仿宋_GB2312" w:cs="宋体"/>
          <w:spacing w:val="8"/>
          <w:kern w:val="0"/>
          <w:sz w:val="32"/>
          <w:szCs w:val="32"/>
          <w:highlight w:val="none"/>
          <w:lang w:eastAsia="zh-CN"/>
        </w:rPr>
        <w:t>公众对政府信息公开的认知。</w:t>
      </w:r>
    </w:p>
    <w:p>
      <w:pPr>
        <w:widowControl/>
        <w:spacing w:line="560" w:lineRule="exact"/>
        <w:ind w:firstLine="675"/>
        <w:jc w:val="left"/>
        <w:rPr>
          <w:rFonts w:hint="eastAsia" w:ascii="宋体" w:hAnsi="宋体" w:cs="宋体"/>
          <w:spacing w:val="8"/>
          <w:kern w:val="0"/>
          <w:sz w:val="32"/>
          <w:szCs w:val="32"/>
        </w:rPr>
      </w:pPr>
      <w:r>
        <w:rPr>
          <w:rFonts w:hint="eastAsia" w:ascii="仿宋_GB2312" w:hAnsi="宋体" w:eastAsia="仿宋_GB2312" w:cs="宋体"/>
          <w:spacing w:val="8"/>
          <w:kern w:val="0"/>
          <w:sz w:val="32"/>
          <w:szCs w:val="32"/>
          <w:highlight w:val="none"/>
          <w:lang w:val="en-US" w:eastAsia="zh-CN"/>
        </w:rPr>
        <w:t>2024年继续做好气象科普宣传、气象防灾减灾工作。</w:t>
      </w:r>
      <w:r>
        <w:rPr>
          <w:rFonts w:hint="eastAsia" w:ascii="黑体" w:hAnsi="宋体" w:eastAsia="黑体" w:cs="宋体"/>
          <w:spacing w:val="8"/>
          <w:kern w:val="0"/>
          <w:sz w:val="32"/>
          <w:szCs w:val="32"/>
          <w:lang w:bidi="ar"/>
        </w:rPr>
        <w:t>六、其他需要报告的事项</w:t>
      </w:r>
    </w:p>
    <w:p>
      <w:pPr>
        <w:wordWrap w:val="0"/>
        <w:adjustRightInd w:val="0"/>
        <w:snapToGrid w:val="0"/>
        <w:spacing w:line="360" w:lineRule="auto"/>
        <w:ind w:firstLine="672" w:firstLineChars="200"/>
        <w:rPr>
          <w:rFonts w:hint="eastAsia" w:ascii="仿宋_GB2312" w:eastAsia="仿宋_GB2312"/>
          <w:sz w:val="32"/>
          <w:szCs w:val="32"/>
        </w:rPr>
      </w:pPr>
      <w:r>
        <w:rPr>
          <w:rFonts w:hint="eastAsia" w:ascii="宋体" w:hAnsi="宋体" w:cs="宋体"/>
          <w:spacing w:val="8"/>
          <w:kern w:val="0"/>
          <w:sz w:val="32"/>
          <w:szCs w:val="32"/>
          <w:lang w:bidi="ar"/>
        </w:rPr>
        <w:t>　　</w:t>
      </w:r>
      <w:r>
        <w:rPr>
          <w:rFonts w:hint="eastAsia" w:ascii="仿宋_GB2312" w:hAnsi="仿宋_GB2312" w:eastAsia="仿宋_GB2312" w:cs="仿宋_GB2312"/>
          <w:color w:val="auto"/>
          <w:kern w:val="2"/>
          <w:sz w:val="32"/>
          <w:szCs w:val="32"/>
          <w:lang w:val="en-US" w:eastAsia="zh-CN" w:bidi="ar-SA"/>
        </w:rPr>
        <w:t>发出收费通知的件数和总金额以及实际收取的总金额均为0。</w:t>
      </w:r>
    </w:p>
    <w:p>
      <w:pPr>
        <w:rPr>
          <w:rFonts w:hint="eastAsia"/>
        </w:rPr>
      </w:pPr>
      <w:bookmarkStart w:id="0" w:name="_GoBack"/>
      <w:bookmarkEnd w:id="0"/>
    </w:p>
    <w:p>
      <w:pPr>
        <w:widowControl/>
        <w:spacing w:line="560" w:lineRule="exact"/>
        <w:jc w:val="left"/>
        <w:rPr>
          <w:rFonts w:hint="eastAsia" w:ascii="仿宋_GB2312" w:hAnsi="宋体" w:eastAsia="仿宋_GB2312" w:cs="宋体"/>
          <w:color w:val="9BC2E6"/>
          <w:spacing w:val="8"/>
          <w:kern w:val="0"/>
          <w:sz w:val="32"/>
          <w:szCs w:val="32"/>
        </w:rPr>
      </w:pPr>
    </w:p>
    <w:p>
      <w:pPr>
        <w:pStyle w:val="2"/>
        <w:widowControl/>
        <w:spacing w:line="560" w:lineRule="exact"/>
      </w:pPr>
      <w:r>
        <w:rPr>
          <w:rFonts w:ascii="微软雅黑" w:hAnsi="微软雅黑" w:eastAsia="微软雅黑" w:cs="宋体"/>
          <w:color w:val="404040"/>
          <w:kern w:val="0"/>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DE897"/>
    <w:multiLevelType w:val="multilevel"/>
    <w:tmpl w:val="BA9DE897"/>
    <w:lvl w:ilvl="0" w:tentative="0">
      <w:start w:val="2"/>
      <w:numFmt w:val="chineseCounting"/>
      <w:suff w:val="nothing"/>
      <w:lvlText w:val="%1、"/>
      <w:lvlJc w:val="left"/>
      <w:pPr>
        <w:ind w:left="-1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B6E2A"/>
    <w:rsid w:val="0B5B6E2A"/>
    <w:rsid w:val="247F2A56"/>
    <w:rsid w:val="27144560"/>
    <w:rsid w:val="4145552E"/>
    <w:rsid w:val="579D2DD8"/>
    <w:rsid w:val="5D3C6DBC"/>
    <w:rsid w:val="734F7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toc 3"/>
    <w:basedOn w:val="1"/>
    <w:next w:val="1"/>
    <w:unhideWhenUsed/>
    <w:qFormat/>
    <w:uiPriority w:val="39"/>
    <w:pPr>
      <w:ind w:left="840" w:leftChars="4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2024-01-02T10:18:00Z</dcterms:created>
  <dc:creator>Ren$hiro</dc:creator>
  <cp:lastModifiedBy>丰台文秘:排版</cp:lastModifiedBy>
  <dcterms:modified xsi:type="dcterms:W3CDTF">2024-01-10T06:51:21Z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E5447C4BBDF14B4F8F6F73C06F58AF2C</vt:lpwstr>
  </property>
</Properties>
</file>