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北京市丰台区气象局2024年政府信息公开</w:t>
      </w:r>
    </w:p>
    <w:p>
      <w:pPr>
        <w:spacing w:line="560" w:lineRule="exact"/>
        <w:jc w:val="center"/>
        <w:rPr>
          <w:sz w:val="44"/>
          <w:szCs w:val="44"/>
        </w:rPr>
      </w:pPr>
      <w:r>
        <w:rPr>
          <w:rFonts w:hint="eastAsia" w:ascii="方正小标宋简体" w:hAnsi="方正小标宋简体" w:eastAsia="方正小标宋简体" w:cs="方正小标宋简体"/>
          <w:sz w:val="44"/>
          <w:szCs w:val="44"/>
        </w:rPr>
        <w:t>工作年度报告</w:t>
      </w:r>
      <w:r>
        <w:rPr>
          <w:rFonts w:hint="eastAsia" w:ascii="微软雅黑" w:hAnsi="微软雅黑" w:eastAsia="微软雅黑" w:cs="宋体"/>
          <w:color w:val="404040"/>
          <w:kern w:val="0"/>
          <w:sz w:val="24"/>
        </w:rPr>
        <w:t>　</w:t>
      </w:r>
      <w:r>
        <w:rPr>
          <w:rFonts w:hint="eastAsia" w:ascii="微软雅黑" w:hAnsi="微软雅黑" w:eastAsia="微软雅黑" w:cs="宋体"/>
          <w:color w:val="404040"/>
          <w:kern w:val="0"/>
          <w:sz w:val="32"/>
          <w:szCs w:val="32"/>
        </w:rPr>
        <w:t xml:space="preserve"> </w:t>
      </w:r>
      <w:r>
        <w:rPr>
          <w:rFonts w:ascii="微软雅黑" w:hAnsi="微软雅黑" w:eastAsia="微软雅黑" w:cs="宋体"/>
          <w:color w:val="404040"/>
          <w:kern w:val="0"/>
          <w:sz w:val="32"/>
          <w:szCs w:val="32"/>
        </w:rPr>
        <w:t xml:space="preserve"> </w:t>
      </w:r>
    </w:p>
    <w:p>
      <w:pPr>
        <w:widowControl/>
        <w:spacing w:line="560" w:lineRule="exact"/>
        <w:jc w:val="left"/>
        <w:rPr>
          <w:rFonts w:hint="eastAsia" w:ascii="仿宋_GB2312" w:hAnsi="宋体" w:eastAsia="仿宋_GB2312" w:cs="宋体"/>
          <w:spacing w:val="8"/>
          <w:kern w:val="0"/>
          <w:sz w:val="32"/>
          <w:szCs w:val="32"/>
        </w:rPr>
      </w:pPr>
      <w:r>
        <w:rPr>
          <w:rFonts w:hint="eastAsia" w:ascii="微软雅黑" w:hAnsi="微软雅黑" w:eastAsia="微软雅黑" w:cs="宋体"/>
          <w:color w:val="404040"/>
          <w:kern w:val="0"/>
          <w:sz w:val="24"/>
        </w:rPr>
        <w:t>　　</w:t>
      </w:r>
      <w:r>
        <w:rPr>
          <w:rFonts w:hint="eastAsia" w:ascii="微软雅黑" w:hAnsi="微软雅黑" w:eastAsia="微软雅黑" w:cs="宋体"/>
          <w:color w:val="404040"/>
          <w:kern w:val="0"/>
          <w:sz w:val="32"/>
          <w:szCs w:val="32"/>
        </w:rPr>
        <w:t xml:space="preserve"> </w:t>
      </w:r>
      <w:r>
        <w:rPr>
          <w:rFonts w:ascii="微软雅黑" w:hAnsi="微软雅黑" w:eastAsia="微软雅黑" w:cs="宋体"/>
          <w:color w:val="404040"/>
          <w:kern w:val="0"/>
          <w:sz w:val="32"/>
          <w:szCs w:val="32"/>
        </w:rPr>
        <w:t xml:space="preserve">  </w:t>
      </w:r>
      <w:r>
        <w:rPr>
          <w:rFonts w:hint="eastAsia" w:ascii="仿宋_GB2312" w:hAnsi="宋体" w:eastAsia="仿宋_GB2312" w:cs="宋体"/>
          <w:spacing w:val="8"/>
          <w:kern w:val="0"/>
          <w:sz w:val="32"/>
          <w:szCs w:val="32"/>
        </w:rPr>
        <w:t>依据《中华人民共和国政府信息公开条例》(以下简称《政府信息公开条例》)第五十条规定，编制本报告。</w:t>
      </w:r>
    </w:p>
    <w:p>
      <w:pPr>
        <w:widowControl/>
        <w:spacing w:line="560" w:lineRule="exact"/>
        <w:ind w:firstLine="672" w:firstLineChars="200"/>
        <w:jc w:val="left"/>
        <w:rPr>
          <w:rFonts w:hint="eastAsia" w:ascii="黑体" w:hAnsi="黑体" w:eastAsia="黑体" w:cs="宋体"/>
          <w:spacing w:val="8"/>
          <w:kern w:val="0"/>
          <w:sz w:val="32"/>
          <w:szCs w:val="32"/>
        </w:rPr>
      </w:pPr>
      <w:r>
        <w:rPr>
          <w:rFonts w:ascii="黑体" w:hAnsi="黑体" w:eastAsia="黑体" w:cs="宋体"/>
          <w:spacing w:val="8"/>
          <w:kern w:val="0"/>
          <w:sz w:val="32"/>
          <w:szCs w:val="32"/>
        </w:rPr>
        <w:t>一、总体情况</w:t>
      </w:r>
    </w:p>
    <w:p>
      <w:pPr>
        <w:widowControl/>
        <w:spacing w:line="560" w:lineRule="exact"/>
        <w:ind w:firstLine="675"/>
        <w:jc w:val="left"/>
        <w:rPr>
          <w:rFonts w:hint="eastAsia" w:ascii="楷体_GB2312" w:hAnsi="宋体" w:eastAsia="楷体_GB2312" w:cs="宋体"/>
          <w:spacing w:val="8"/>
          <w:kern w:val="0"/>
          <w:sz w:val="32"/>
          <w:szCs w:val="32"/>
        </w:rPr>
      </w:pPr>
      <w:r>
        <w:rPr>
          <w:rFonts w:hint="eastAsia" w:ascii="楷体_GB2312" w:hAnsi="宋体" w:eastAsia="楷体_GB2312" w:cs="宋体"/>
          <w:spacing w:val="8"/>
          <w:kern w:val="0"/>
          <w:sz w:val="32"/>
          <w:szCs w:val="32"/>
          <w:lang w:eastAsia="zh-CN"/>
        </w:rPr>
        <w:t>（一）</w:t>
      </w:r>
      <w:r>
        <w:rPr>
          <w:rFonts w:hint="eastAsia" w:ascii="楷体_GB2312" w:hAnsi="宋体" w:eastAsia="楷体_GB2312" w:cs="宋体"/>
          <w:spacing w:val="8"/>
          <w:kern w:val="0"/>
          <w:sz w:val="32"/>
          <w:szCs w:val="32"/>
        </w:rPr>
        <w:t>主动公开</w:t>
      </w:r>
    </w:p>
    <w:p>
      <w:pPr>
        <w:pStyle w:val="2"/>
        <w:ind w:firstLine="640" w:firstLineChars="200"/>
        <w:rPr>
          <w:rFonts w:ascii="仿宋_GB2312" w:eastAsia="仿宋_GB2312"/>
          <w:sz w:val="32"/>
          <w:szCs w:val="32"/>
        </w:rPr>
      </w:pPr>
      <w:r>
        <w:rPr>
          <w:rFonts w:hint="eastAsia" w:ascii="仿宋_GB2312" w:eastAsia="仿宋_GB2312"/>
          <w:sz w:val="32"/>
          <w:szCs w:val="32"/>
        </w:rPr>
        <w:t>按照《北京市丰台区2024年政务公开工作要点》要求，我局通过丰台区政府网站部门动态、政策解读、部门文件、丰台气象微博、微信等多渠道进行信息公开。2024年通过区政府网站共主动公开26条政府信息，通过北京市气象局门户网站主动公开政府信息8条，通过政务微博发布1240余条，政务微信发布1400余条。</w:t>
      </w:r>
    </w:p>
    <w:p>
      <w:pPr>
        <w:widowControl/>
        <w:spacing w:line="560" w:lineRule="exact"/>
        <w:ind w:firstLine="675"/>
        <w:jc w:val="left"/>
        <w:rPr>
          <w:rFonts w:hint="eastAsia" w:ascii="楷体_GB2312" w:hAnsi="宋体" w:eastAsia="楷体_GB2312" w:cs="宋体"/>
          <w:spacing w:val="8"/>
          <w:kern w:val="0"/>
          <w:sz w:val="32"/>
          <w:szCs w:val="32"/>
        </w:rPr>
      </w:pPr>
      <w:r>
        <w:rPr>
          <w:rFonts w:hint="eastAsia" w:ascii="楷体_GB2312" w:hAnsi="宋体" w:eastAsia="楷体_GB2312" w:cs="宋体"/>
          <w:spacing w:val="8"/>
          <w:kern w:val="0"/>
          <w:sz w:val="32"/>
          <w:szCs w:val="32"/>
          <w:lang w:eastAsia="zh-CN"/>
        </w:rPr>
        <w:t>（二）</w:t>
      </w:r>
      <w:r>
        <w:rPr>
          <w:rFonts w:hint="eastAsia" w:ascii="楷体_GB2312" w:hAnsi="宋体" w:eastAsia="楷体_GB2312" w:cs="宋体"/>
          <w:spacing w:val="8"/>
          <w:kern w:val="0"/>
          <w:sz w:val="32"/>
          <w:szCs w:val="32"/>
        </w:rPr>
        <w:t>依申请公开</w:t>
      </w:r>
    </w:p>
    <w:p>
      <w:pPr>
        <w:pStyle w:val="2"/>
        <w:rPr>
          <w:rFonts w:ascii="仿宋_GB2312" w:eastAsia="仿宋_GB2312"/>
          <w:sz w:val="32"/>
          <w:szCs w:val="32"/>
        </w:rPr>
      </w:pPr>
      <w:r>
        <w:rPr>
          <w:rFonts w:hint="eastAsia"/>
        </w:rPr>
        <w:t xml:space="preserve">      </w:t>
      </w:r>
      <w:r>
        <w:rPr>
          <w:rFonts w:hint="eastAsia" w:ascii="仿宋_GB2312" w:eastAsia="仿宋_GB2312"/>
          <w:sz w:val="32"/>
          <w:szCs w:val="32"/>
        </w:rPr>
        <w:t>本局及时、规范更新发布依申请公开指南，确保申请渠道畅通。2024年未收到政府信息公开申请件。全年未收取依申请公开政府信息的费用。</w:t>
      </w:r>
    </w:p>
    <w:p>
      <w:pPr>
        <w:widowControl/>
        <w:spacing w:line="560" w:lineRule="exact"/>
        <w:ind w:firstLine="675"/>
        <w:jc w:val="left"/>
        <w:rPr>
          <w:rFonts w:hint="eastAsia" w:ascii="楷体_GB2312" w:hAnsi="宋体" w:eastAsia="楷体_GB2312" w:cs="宋体"/>
          <w:spacing w:val="8"/>
          <w:kern w:val="0"/>
          <w:sz w:val="32"/>
          <w:szCs w:val="32"/>
        </w:rPr>
      </w:pPr>
      <w:r>
        <w:rPr>
          <w:rFonts w:hint="eastAsia" w:ascii="楷体_GB2312" w:hAnsi="宋体" w:eastAsia="楷体_GB2312" w:cs="宋体"/>
          <w:spacing w:val="8"/>
          <w:kern w:val="0"/>
          <w:sz w:val="32"/>
          <w:szCs w:val="32"/>
          <w:lang w:eastAsia="zh-CN"/>
        </w:rPr>
        <w:t>（三）</w:t>
      </w:r>
      <w:r>
        <w:rPr>
          <w:rFonts w:hint="eastAsia" w:ascii="楷体_GB2312" w:hAnsi="宋体" w:eastAsia="楷体_GB2312" w:cs="宋体"/>
          <w:spacing w:val="8"/>
          <w:kern w:val="0"/>
          <w:sz w:val="32"/>
          <w:szCs w:val="32"/>
        </w:rPr>
        <w:t>政府信息管理</w:t>
      </w:r>
    </w:p>
    <w:p>
      <w:pPr>
        <w:pStyle w:val="2"/>
        <w:ind w:firstLine="640" w:firstLineChars="200"/>
        <w:rPr>
          <w:rFonts w:ascii="仿宋_GB2312" w:eastAsia="仿宋_GB2312"/>
          <w:sz w:val="32"/>
          <w:szCs w:val="32"/>
        </w:rPr>
      </w:pPr>
      <w:r>
        <w:rPr>
          <w:rFonts w:hint="eastAsia" w:ascii="仿宋_GB2312" w:eastAsia="仿宋_GB2312"/>
          <w:sz w:val="32"/>
          <w:szCs w:val="32"/>
        </w:rPr>
        <w:t>按照《丰台区政务公开领导小组办公室关于印发〈丰台区2024年政务公开工作要点〉的通知》（丰公开办发〔2024〕1号）要求，结合我局实际，认真贯彻落实，2024年本局严格执行《中华人民共和国政府信息公开条例》和《北京市政府信息公开规定》，严格履行法定公开义务，加强基础性规范性机制制度建设，按时发布政府信息及主动公开动态，在规定时间内完成依申请公开办理。在北京市丰台区政府门户网站和北京市气象局门户网站进行主动公开，加强政策解读，回应社会关切，扩大公众参与，“应公开、尽公开”，充分发挥公开促落实、促规范、促服务的作用，进一步提升政府的执行力和公信力，助力区域平稳健康持续发展，进一步提升政务公开工作水平。</w:t>
      </w:r>
    </w:p>
    <w:p>
      <w:pPr>
        <w:widowControl/>
        <w:spacing w:line="560" w:lineRule="exact"/>
        <w:ind w:firstLine="675"/>
        <w:jc w:val="left"/>
        <w:rPr>
          <w:rFonts w:hint="eastAsia" w:ascii="楷体_GB2312" w:hAnsi="宋体" w:eastAsia="楷体_GB2312" w:cs="宋体"/>
          <w:spacing w:val="8"/>
          <w:kern w:val="0"/>
          <w:sz w:val="32"/>
          <w:szCs w:val="32"/>
        </w:rPr>
      </w:pPr>
      <w:r>
        <w:rPr>
          <w:rFonts w:hint="eastAsia" w:ascii="楷体_GB2312" w:hAnsi="宋体" w:eastAsia="楷体_GB2312" w:cs="宋体"/>
          <w:spacing w:val="8"/>
          <w:kern w:val="0"/>
          <w:sz w:val="32"/>
          <w:szCs w:val="32"/>
          <w:lang w:eastAsia="zh-CN"/>
        </w:rPr>
        <w:t>（四）</w:t>
      </w:r>
      <w:r>
        <w:rPr>
          <w:rFonts w:hint="eastAsia" w:ascii="楷体_GB2312" w:hAnsi="宋体" w:eastAsia="楷体_GB2312" w:cs="宋体"/>
          <w:spacing w:val="8"/>
          <w:kern w:val="0"/>
          <w:sz w:val="32"/>
          <w:szCs w:val="32"/>
        </w:rPr>
        <w:t>平台建设</w:t>
      </w:r>
    </w:p>
    <w:p>
      <w:pPr>
        <w:pStyle w:val="2"/>
        <w:rPr>
          <w:rFonts w:ascii="仿宋_GB2312" w:eastAsia="仿宋_GB2312"/>
          <w:sz w:val="32"/>
          <w:szCs w:val="32"/>
        </w:rPr>
      </w:pPr>
      <w:r>
        <w:rPr>
          <w:rFonts w:hint="eastAsia" w:ascii="仿宋_GB2312" w:eastAsia="仿宋_GB2312"/>
          <w:sz w:val="32"/>
          <w:szCs w:val="32"/>
        </w:rPr>
        <w:t xml:space="preserve">    本局未进行自有信息公开平台建设，我局主动公开信息均通过丰台区政府及北京市气象局的门户网站进行公开。</w:t>
      </w:r>
    </w:p>
    <w:p>
      <w:pPr>
        <w:widowControl/>
        <w:spacing w:line="560" w:lineRule="exact"/>
        <w:ind w:firstLine="675"/>
        <w:jc w:val="left"/>
        <w:rPr>
          <w:rFonts w:hint="eastAsia" w:ascii="楷体_GB2312" w:hAnsi="宋体" w:eastAsia="楷体_GB2312" w:cs="宋体"/>
          <w:spacing w:val="8"/>
          <w:kern w:val="0"/>
          <w:sz w:val="32"/>
          <w:szCs w:val="32"/>
        </w:rPr>
      </w:pPr>
      <w:r>
        <w:rPr>
          <w:rFonts w:hint="eastAsia" w:ascii="楷体_GB2312" w:hAnsi="宋体" w:eastAsia="楷体_GB2312" w:cs="宋体"/>
          <w:spacing w:val="8"/>
          <w:kern w:val="0"/>
          <w:sz w:val="32"/>
          <w:szCs w:val="32"/>
          <w:lang w:eastAsia="zh-CN"/>
        </w:rPr>
        <w:t>（五）</w:t>
      </w:r>
      <w:r>
        <w:rPr>
          <w:rFonts w:hint="eastAsia" w:ascii="楷体_GB2312" w:hAnsi="宋体" w:eastAsia="楷体_GB2312" w:cs="宋体"/>
          <w:spacing w:val="8"/>
          <w:kern w:val="0"/>
          <w:sz w:val="32"/>
          <w:szCs w:val="32"/>
        </w:rPr>
        <w:t>教育培训</w:t>
      </w:r>
    </w:p>
    <w:p>
      <w:pPr>
        <w:pStyle w:val="2"/>
        <w:ind w:firstLine="640" w:firstLineChars="200"/>
        <w:rPr>
          <w:rFonts w:hint="eastAsia" w:ascii="仿宋_GB2312" w:hAnsi="宋体" w:eastAsia="仿宋_GB2312"/>
          <w:sz w:val="32"/>
          <w:szCs w:val="32"/>
        </w:rPr>
      </w:pPr>
      <w:r>
        <w:rPr>
          <w:rFonts w:hint="eastAsia" w:ascii="仿宋_GB2312" w:eastAsia="仿宋_GB2312"/>
          <w:sz w:val="32"/>
          <w:szCs w:val="32"/>
        </w:rPr>
        <w:t xml:space="preserve"> 2024年共计参加政务信息公开业务培训3次，分别是5月24日区政府举办的2024年丰台区信息工作会</w:t>
      </w:r>
      <w:r>
        <w:rPr>
          <w:rFonts w:hint="eastAsia" w:ascii="仿宋_GB2312" w:hAnsi="宋体" w:eastAsia="仿宋_GB2312"/>
          <w:sz w:val="32"/>
          <w:szCs w:val="32"/>
        </w:rPr>
        <w:t>，6月6日参加2024年丰台区政务公开领导小组工作会议，11月22日参加北京市气象局举办的信息培训会。</w:t>
      </w:r>
    </w:p>
    <w:p>
      <w:pPr>
        <w:numPr>
          <w:ilvl w:val="0"/>
          <w:numId w:val="1"/>
        </w:numPr>
        <w:spacing w:line="560" w:lineRule="exact"/>
        <w:ind w:firstLine="640"/>
        <w:rPr>
          <w:rFonts w:hint="eastAsia" w:ascii="黑体" w:hAnsi="黑体" w:eastAsia="黑体" w:cs="黑体"/>
          <w:sz w:val="32"/>
          <w:szCs w:val="32"/>
        </w:rPr>
      </w:pPr>
      <w:r>
        <w:rPr>
          <w:rFonts w:hint="eastAsia" w:ascii="黑体" w:hAnsi="黑体" w:eastAsia="黑体" w:cs="黑体"/>
          <w:sz w:val="32"/>
          <w:szCs w:val="32"/>
        </w:rPr>
        <w:t>主动公开政府信息情况</w:t>
      </w:r>
    </w:p>
    <w:p>
      <w:pPr>
        <w:pStyle w:val="2"/>
      </w:pPr>
    </w:p>
    <w:p>
      <w:pPr>
        <w:pStyle w:val="2"/>
      </w:pPr>
    </w:p>
    <w:tbl>
      <w:tblPr>
        <w:tblStyle w:val="6"/>
        <w:tblW w:w="9740" w:type="dxa"/>
        <w:jc w:val="center"/>
        <w:tblLayout w:type="autofit"/>
        <w:tblCellMar>
          <w:top w:w="0" w:type="dxa"/>
          <w:left w:w="0" w:type="dxa"/>
          <w:bottom w:w="0" w:type="dxa"/>
          <w:right w:w="0" w:type="dxa"/>
        </w:tblCellMar>
      </w:tblPr>
      <w:tblGrid>
        <w:gridCol w:w="2435"/>
        <w:gridCol w:w="2435"/>
        <w:gridCol w:w="2435"/>
        <w:gridCol w:w="2435"/>
      </w:tblGrid>
      <w:tr>
        <w:tblPrEx>
          <w:tblCellMar>
            <w:top w:w="0" w:type="dxa"/>
            <w:left w:w="0" w:type="dxa"/>
            <w:bottom w:w="0" w:type="dxa"/>
            <w:right w:w="0" w:type="dxa"/>
          </w:tblCellMar>
        </w:tblPrEx>
        <w:trPr>
          <w:trHeight w:val="340" w:hRule="atLeast"/>
          <w:jc w:val="center"/>
        </w:trPr>
        <w:tc>
          <w:tcPr>
            <w:tcW w:w="9740" w:type="dxa"/>
            <w:gridSpan w:val="4"/>
            <w:tcBorders>
              <w:top w:val="single" w:color="auto" w:sz="8" w:space="0"/>
              <w:left w:val="single" w:color="auto" w:sz="8" w:space="0"/>
              <w:bottom w:val="single" w:color="auto" w:sz="8" w:space="0"/>
              <w:right w:val="single" w:color="auto" w:sz="8" w:space="0"/>
            </w:tcBorders>
            <w:shd w:val="clear" w:color="auto" w:fill="9BC2E6"/>
            <w:tcMar>
              <w:left w:w="57" w:type="dxa"/>
              <w:right w:w="57" w:type="dxa"/>
            </w:tcMar>
            <w:vAlign w:val="center"/>
          </w:tcPr>
          <w:p>
            <w:pPr>
              <w:widowControl/>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第二十条第（一）项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pPr>
              <w:widowControl/>
              <w:jc w:val="center"/>
            </w:pPr>
            <w:r>
              <w:rPr>
                <w:rFonts w:hint="eastAsia" w:ascii="宋体" w:hAnsi="宋体" w:cs="宋体"/>
                <w:color w:val="000000"/>
                <w:kern w:val="0"/>
                <w:sz w:val="20"/>
                <w:szCs w:val="20"/>
                <w:lang w:bidi="ar"/>
              </w:rPr>
              <w:t>信息内容</w:t>
            </w:r>
          </w:p>
        </w:tc>
        <w:tc>
          <w:tcPr>
            <w:tcW w:w="2435" w:type="dxa"/>
            <w:tcBorders>
              <w:top w:val="single" w:color="auto" w:sz="8" w:space="0"/>
              <w:left w:val="nil"/>
              <w:bottom w:val="single" w:color="auto" w:sz="8" w:space="0"/>
              <w:right w:val="single" w:color="auto" w:sz="8" w:space="0"/>
            </w:tcBorders>
            <w:shd w:val="clear" w:color="auto" w:fill="DDEBF7"/>
            <w:tcMar>
              <w:left w:w="57" w:type="dxa"/>
              <w:right w:w="57" w:type="dxa"/>
            </w:tcMar>
            <w:vAlign w:val="center"/>
          </w:tcPr>
          <w:p>
            <w:pPr>
              <w:widowControl/>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本年制发件数</w:t>
            </w:r>
          </w:p>
        </w:tc>
        <w:tc>
          <w:tcPr>
            <w:tcW w:w="2435" w:type="dxa"/>
            <w:tcBorders>
              <w:top w:val="single" w:color="auto" w:sz="8" w:space="0"/>
              <w:left w:val="nil"/>
              <w:bottom w:val="single" w:color="auto" w:sz="8" w:space="0"/>
              <w:right w:val="single" w:color="auto" w:sz="8" w:space="0"/>
            </w:tcBorders>
            <w:shd w:val="clear" w:color="auto" w:fill="DDEBF7"/>
            <w:tcMar>
              <w:left w:w="57" w:type="dxa"/>
              <w:right w:w="57" w:type="dxa"/>
            </w:tcMar>
            <w:vAlign w:val="center"/>
          </w:tcPr>
          <w:p>
            <w:pPr>
              <w:widowControl/>
              <w:jc w:val="center"/>
            </w:pPr>
            <w:r>
              <w:rPr>
                <w:rFonts w:hint="eastAsia" w:ascii="宋体" w:hAnsi="宋体" w:cs="宋体"/>
                <w:color w:val="000000"/>
                <w:kern w:val="0"/>
                <w:sz w:val="20"/>
                <w:szCs w:val="20"/>
                <w:lang w:bidi="ar"/>
              </w:rPr>
              <w:t>本年废止件数</w:t>
            </w:r>
          </w:p>
        </w:tc>
        <w:tc>
          <w:tcPr>
            <w:tcW w:w="2435" w:type="dxa"/>
            <w:tcBorders>
              <w:top w:val="single" w:color="auto" w:sz="8" w:space="0"/>
              <w:left w:val="nil"/>
              <w:bottom w:val="single" w:color="auto" w:sz="8" w:space="0"/>
              <w:right w:val="single" w:color="auto" w:sz="8" w:space="0"/>
            </w:tcBorders>
            <w:shd w:val="clear" w:color="auto" w:fill="DDEBF7"/>
            <w:tcMar>
              <w:left w:w="57" w:type="dxa"/>
              <w:right w:w="57" w:type="dxa"/>
            </w:tcMar>
            <w:vAlign w:val="center"/>
          </w:tcPr>
          <w:p>
            <w:pPr>
              <w:widowControl/>
              <w:jc w:val="center"/>
            </w:pPr>
            <w:r>
              <w:rPr>
                <w:rFonts w:hint="eastAsia" w:ascii="宋体" w:hAnsi="宋体" w:cs="宋体"/>
                <w:color w:val="000000"/>
                <w:kern w:val="0"/>
                <w:sz w:val="20"/>
                <w:szCs w:val="20"/>
                <w:lang w:bidi="ar"/>
              </w:rPr>
              <w:t>现行有效件</w:t>
            </w:r>
            <w:r>
              <w:rPr>
                <w:rFonts w:hint="eastAsia" w:ascii="宋体" w:hAnsi="宋体" w:cs="宋体"/>
                <w:kern w:val="0"/>
                <w:sz w:val="20"/>
                <w:szCs w:val="20"/>
                <w:lang w:bidi="ar"/>
              </w:rPr>
              <w:t>数</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pPr>
              <w:widowControl/>
              <w:jc w:val="left"/>
            </w:pPr>
            <w:r>
              <w:rPr>
                <w:rFonts w:hint="eastAsia" w:ascii="宋体" w:hAnsi="宋体" w:cs="宋体"/>
                <w:color w:val="000000"/>
                <w:kern w:val="0"/>
                <w:sz w:val="20"/>
                <w:szCs w:val="20"/>
                <w:lang w:bidi="ar"/>
              </w:rPr>
              <w:t>规章</w:t>
            </w:r>
          </w:p>
        </w:tc>
        <w:tc>
          <w:tcPr>
            <w:tcW w:w="2435" w:type="dxa"/>
            <w:tcBorders>
              <w:top w:val="nil"/>
              <w:left w:val="nil"/>
              <w:bottom w:val="single" w:color="auto" w:sz="8" w:space="0"/>
              <w:right w:val="single" w:color="auto" w:sz="8" w:space="0"/>
            </w:tcBorders>
            <w:tcMar>
              <w:left w:w="57" w:type="dxa"/>
              <w:right w:w="57" w:type="dxa"/>
            </w:tcMar>
            <w:vAlign w:val="center"/>
          </w:tcPr>
          <w:p>
            <w:pPr>
              <w:widowControl/>
              <w:jc w:val="center"/>
              <w:rPr>
                <w:rFonts w:asciiTheme="minorHAnsi" w:hAnsiTheme="minorHAnsi"/>
                <w:szCs w:val="21"/>
              </w:rPr>
            </w:pPr>
            <w:r>
              <w:rPr>
                <w:rFonts w:cs="宋体" w:asciiTheme="minorHAnsi" w:hAnsiTheme="minorHAnsi"/>
                <w:color w:val="000000"/>
                <w:kern w:val="0"/>
                <w:szCs w:val="21"/>
                <w:lang w:bidi="ar"/>
              </w:rPr>
              <w:t>0</w:t>
            </w:r>
          </w:p>
        </w:tc>
        <w:tc>
          <w:tcPr>
            <w:tcW w:w="2435" w:type="dxa"/>
            <w:tcBorders>
              <w:top w:val="nil"/>
              <w:left w:val="nil"/>
              <w:bottom w:val="single" w:color="auto" w:sz="8" w:space="0"/>
              <w:right w:val="single" w:color="auto" w:sz="8" w:space="0"/>
            </w:tcBorders>
            <w:tcMar>
              <w:left w:w="57" w:type="dxa"/>
              <w:right w:w="57" w:type="dxa"/>
            </w:tcMar>
            <w:vAlign w:val="center"/>
          </w:tcPr>
          <w:p>
            <w:pPr>
              <w:widowControl/>
              <w:jc w:val="center"/>
              <w:rPr>
                <w:rFonts w:asciiTheme="minorHAnsi" w:hAnsiTheme="minorHAnsi"/>
                <w:szCs w:val="21"/>
              </w:rPr>
            </w:pPr>
            <w:r>
              <w:rPr>
                <w:rFonts w:cs="宋体" w:asciiTheme="minorHAnsi" w:hAnsiTheme="minorHAnsi"/>
                <w:color w:val="000000"/>
                <w:kern w:val="0"/>
                <w:szCs w:val="21"/>
                <w:lang w:bidi="ar"/>
              </w:rPr>
              <w:t>0</w:t>
            </w:r>
          </w:p>
        </w:tc>
        <w:tc>
          <w:tcPr>
            <w:tcW w:w="2435" w:type="dxa"/>
            <w:tcBorders>
              <w:top w:val="nil"/>
              <w:left w:val="nil"/>
              <w:bottom w:val="single" w:color="auto" w:sz="8" w:space="0"/>
              <w:right w:val="single" w:color="auto" w:sz="8" w:space="0"/>
            </w:tcBorders>
            <w:tcMar>
              <w:left w:w="57" w:type="dxa"/>
              <w:right w:w="57" w:type="dxa"/>
            </w:tcMar>
            <w:vAlign w:val="center"/>
          </w:tcPr>
          <w:p>
            <w:pPr>
              <w:widowControl/>
              <w:jc w:val="center"/>
              <w:rPr>
                <w:rFonts w:asciiTheme="minorHAnsi" w:hAnsiTheme="minorHAnsi"/>
                <w:szCs w:val="21"/>
              </w:rPr>
            </w:pPr>
            <w:r>
              <w:rPr>
                <w:rFonts w:cs="Calibri" w:asciiTheme="minorHAnsi" w:hAnsiTheme="minorHAnsi"/>
                <w:kern w:val="0"/>
                <w:szCs w:val="21"/>
                <w:lang w:bidi="ar"/>
              </w:rPr>
              <w:t>0</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pPr>
              <w:widowControl/>
              <w:jc w:val="left"/>
            </w:pPr>
            <w:r>
              <w:rPr>
                <w:rFonts w:hint="eastAsia" w:ascii="宋体" w:hAnsi="宋体" w:cs="宋体"/>
                <w:color w:val="000000"/>
                <w:kern w:val="0"/>
                <w:sz w:val="20"/>
                <w:szCs w:val="20"/>
                <w:lang w:bidi="ar"/>
              </w:rPr>
              <w:t>行政规范性文件</w:t>
            </w:r>
          </w:p>
        </w:tc>
        <w:tc>
          <w:tcPr>
            <w:tcW w:w="2435" w:type="dxa"/>
            <w:tcBorders>
              <w:top w:val="nil"/>
              <w:left w:val="nil"/>
              <w:bottom w:val="single" w:color="auto" w:sz="8" w:space="0"/>
              <w:right w:val="single" w:color="auto" w:sz="8" w:space="0"/>
            </w:tcBorders>
            <w:tcMar>
              <w:left w:w="57" w:type="dxa"/>
              <w:right w:w="57" w:type="dxa"/>
            </w:tcMar>
            <w:vAlign w:val="center"/>
          </w:tcPr>
          <w:p>
            <w:pPr>
              <w:widowControl/>
              <w:jc w:val="center"/>
              <w:rPr>
                <w:rFonts w:asciiTheme="minorHAnsi" w:hAnsiTheme="minorHAnsi"/>
                <w:szCs w:val="21"/>
              </w:rPr>
            </w:pPr>
            <w:r>
              <w:rPr>
                <w:rFonts w:cs="宋体" w:asciiTheme="minorHAnsi" w:hAnsiTheme="minorHAnsi"/>
                <w:color w:val="000000"/>
                <w:kern w:val="0"/>
                <w:szCs w:val="21"/>
                <w:lang w:bidi="ar"/>
              </w:rPr>
              <w:t>0</w:t>
            </w:r>
          </w:p>
        </w:tc>
        <w:tc>
          <w:tcPr>
            <w:tcW w:w="2435" w:type="dxa"/>
            <w:tcBorders>
              <w:top w:val="nil"/>
              <w:left w:val="nil"/>
              <w:bottom w:val="single" w:color="auto" w:sz="8" w:space="0"/>
              <w:right w:val="single" w:color="auto" w:sz="8" w:space="0"/>
            </w:tcBorders>
            <w:tcMar>
              <w:left w:w="57" w:type="dxa"/>
              <w:right w:w="57" w:type="dxa"/>
            </w:tcMar>
            <w:vAlign w:val="center"/>
          </w:tcPr>
          <w:p>
            <w:pPr>
              <w:widowControl/>
              <w:jc w:val="center"/>
              <w:rPr>
                <w:rFonts w:asciiTheme="minorHAnsi" w:hAnsiTheme="minorHAnsi"/>
                <w:szCs w:val="21"/>
              </w:rPr>
            </w:pPr>
            <w:r>
              <w:rPr>
                <w:rFonts w:cs="宋体" w:asciiTheme="minorHAnsi" w:hAnsiTheme="minorHAnsi"/>
                <w:color w:val="000000"/>
                <w:kern w:val="0"/>
                <w:szCs w:val="21"/>
                <w:lang w:bidi="ar"/>
              </w:rPr>
              <w:t>0</w:t>
            </w:r>
          </w:p>
        </w:tc>
        <w:tc>
          <w:tcPr>
            <w:tcW w:w="2435" w:type="dxa"/>
            <w:tcBorders>
              <w:top w:val="nil"/>
              <w:left w:val="nil"/>
              <w:bottom w:val="single" w:color="auto" w:sz="8" w:space="0"/>
              <w:right w:val="single" w:color="auto" w:sz="8" w:space="0"/>
            </w:tcBorders>
            <w:tcMar>
              <w:left w:w="57" w:type="dxa"/>
              <w:right w:w="57" w:type="dxa"/>
            </w:tcMar>
            <w:vAlign w:val="center"/>
          </w:tcPr>
          <w:p>
            <w:pPr>
              <w:widowControl/>
              <w:jc w:val="center"/>
              <w:rPr>
                <w:rFonts w:asciiTheme="minorHAnsi" w:hAnsiTheme="minorHAnsi"/>
                <w:szCs w:val="21"/>
              </w:rPr>
            </w:pPr>
            <w:r>
              <w:rPr>
                <w:rFonts w:cs="Calibri" w:asciiTheme="minorHAnsi" w:hAnsiTheme="minorHAnsi"/>
                <w:kern w:val="0"/>
                <w:szCs w:val="21"/>
                <w:lang w:bidi="ar"/>
              </w:rPr>
              <w:t>0</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9BC2E6"/>
            <w:tcMar>
              <w:left w:w="57" w:type="dxa"/>
              <w:right w:w="57" w:type="dxa"/>
            </w:tcMar>
            <w:vAlign w:val="center"/>
          </w:tcPr>
          <w:p>
            <w:pPr>
              <w:widowControl/>
              <w:jc w:val="center"/>
            </w:pPr>
            <w:r>
              <w:rPr>
                <w:rFonts w:hint="eastAsia" w:ascii="宋体" w:hAnsi="宋体" w:cs="宋体"/>
                <w:color w:val="000000"/>
                <w:kern w:val="0"/>
                <w:sz w:val="20"/>
                <w:szCs w:val="20"/>
                <w:lang w:bidi="ar"/>
              </w:rPr>
              <w:t>第二十条第（五）项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pPr>
              <w:widowControl/>
              <w:jc w:val="center"/>
            </w:pPr>
            <w:r>
              <w:rPr>
                <w:rFonts w:hint="eastAsia" w:ascii="宋体" w:hAnsi="宋体" w:cs="宋体"/>
                <w:color w:val="000000"/>
                <w:kern w:val="0"/>
                <w:sz w:val="20"/>
                <w:szCs w:val="20"/>
                <w:lang w:bidi="ar"/>
              </w:rPr>
              <w:t>信息内容</w:t>
            </w:r>
          </w:p>
        </w:tc>
        <w:tc>
          <w:tcPr>
            <w:tcW w:w="7305" w:type="dxa"/>
            <w:gridSpan w:val="3"/>
            <w:tcBorders>
              <w:top w:val="nil"/>
              <w:left w:val="nil"/>
              <w:bottom w:val="single" w:color="auto" w:sz="8" w:space="0"/>
              <w:right w:val="single" w:color="auto" w:sz="8" w:space="0"/>
            </w:tcBorders>
            <w:shd w:val="clear" w:color="auto" w:fill="DDEBF7"/>
            <w:tcMar>
              <w:left w:w="57" w:type="dxa"/>
              <w:right w:w="57" w:type="dxa"/>
            </w:tcMar>
            <w:vAlign w:val="center"/>
          </w:tcPr>
          <w:p>
            <w:pPr>
              <w:widowControl/>
              <w:jc w:val="center"/>
            </w:pPr>
            <w:r>
              <w:rPr>
                <w:rFonts w:hint="eastAsia" w:ascii="宋体" w:hAnsi="宋体" w:cs="宋体"/>
                <w:color w:val="000000"/>
                <w:kern w:val="0"/>
                <w:sz w:val="20"/>
                <w:szCs w:val="20"/>
                <w:lang w:bidi="ar"/>
              </w:rPr>
              <w:t>本年处理决定数量</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pPr>
              <w:widowControl/>
              <w:jc w:val="left"/>
            </w:pPr>
            <w:r>
              <w:rPr>
                <w:rFonts w:hint="eastAsia" w:ascii="宋体" w:hAnsi="宋体" w:cs="宋体"/>
                <w:color w:val="000000"/>
                <w:kern w:val="0"/>
                <w:sz w:val="20"/>
                <w:szCs w:val="20"/>
                <w:lang w:bidi="ar"/>
              </w:rPr>
              <w:t>行政许可</w:t>
            </w:r>
          </w:p>
        </w:tc>
        <w:tc>
          <w:tcPr>
            <w:tcW w:w="7305" w:type="dxa"/>
            <w:gridSpan w:val="3"/>
            <w:tcBorders>
              <w:top w:val="nil"/>
              <w:left w:val="nil"/>
              <w:bottom w:val="single" w:color="auto" w:sz="8" w:space="0"/>
              <w:right w:val="single" w:color="auto" w:sz="8" w:space="0"/>
            </w:tcBorders>
            <w:tcMar>
              <w:left w:w="57" w:type="dxa"/>
              <w:right w:w="57" w:type="dxa"/>
            </w:tcMar>
            <w:vAlign w:val="center"/>
          </w:tcPr>
          <w:p>
            <w:pPr>
              <w:widowControl/>
              <w:jc w:val="center"/>
            </w:pPr>
            <w:r>
              <w:rPr>
                <w:rFonts w:hint="eastAsia" w:cs="宋体" w:asciiTheme="minorHAnsi" w:hAnsiTheme="minorHAnsi"/>
                <w:color w:val="000000"/>
                <w:kern w:val="0"/>
                <w:szCs w:val="21"/>
                <w:lang w:bidi="ar"/>
              </w:rPr>
              <w:t>0</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9BC2E6"/>
            <w:tcMar>
              <w:left w:w="57" w:type="dxa"/>
              <w:right w:w="57" w:type="dxa"/>
            </w:tcMar>
            <w:vAlign w:val="center"/>
          </w:tcPr>
          <w:p>
            <w:pPr>
              <w:widowControl/>
              <w:jc w:val="center"/>
            </w:pPr>
            <w:r>
              <w:rPr>
                <w:rFonts w:hint="eastAsia" w:ascii="宋体" w:hAnsi="宋体" w:cs="宋体"/>
                <w:color w:val="000000"/>
                <w:kern w:val="0"/>
                <w:sz w:val="20"/>
                <w:szCs w:val="20"/>
                <w:lang w:bidi="ar"/>
              </w:rPr>
              <w:t>第二十条第（六）项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pPr>
              <w:widowControl/>
              <w:jc w:val="center"/>
            </w:pPr>
            <w:r>
              <w:rPr>
                <w:rFonts w:hint="eastAsia" w:ascii="宋体" w:hAnsi="宋体" w:cs="宋体"/>
                <w:color w:val="000000"/>
                <w:kern w:val="0"/>
                <w:sz w:val="20"/>
                <w:szCs w:val="20"/>
                <w:lang w:bidi="ar"/>
              </w:rPr>
              <w:t>信息内容</w:t>
            </w:r>
          </w:p>
        </w:tc>
        <w:tc>
          <w:tcPr>
            <w:tcW w:w="7305" w:type="dxa"/>
            <w:gridSpan w:val="3"/>
            <w:tcBorders>
              <w:top w:val="single" w:color="auto" w:sz="8" w:space="0"/>
              <w:left w:val="nil"/>
              <w:bottom w:val="single" w:color="auto" w:sz="8" w:space="0"/>
              <w:right w:val="single" w:color="auto" w:sz="8" w:space="0"/>
            </w:tcBorders>
            <w:shd w:val="clear" w:color="auto" w:fill="DDEBF7"/>
            <w:tcMar>
              <w:left w:w="57" w:type="dxa"/>
              <w:right w:w="57" w:type="dxa"/>
            </w:tcMar>
            <w:vAlign w:val="center"/>
          </w:tcPr>
          <w:p>
            <w:pPr>
              <w:widowControl/>
              <w:jc w:val="center"/>
            </w:pPr>
            <w:r>
              <w:rPr>
                <w:rFonts w:hint="eastAsia" w:ascii="宋体" w:hAnsi="宋体" w:cs="宋体"/>
                <w:color w:val="000000"/>
                <w:kern w:val="0"/>
                <w:sz w:val="20"/>
                <w:szCs w:val="20"/>
                <w:lang w:bidi="ar"/>
              </w:rPr>
              <w:t>本年处理决定数量</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pPr>
              <w:widowControl/>
              <w:jc w:val="left"/>
            </w:pPr>
            <w:r>
              <w:rPr>
                <w:rFonts w:hint="eastAsia" w:ascii="宋体" w:hAnsi="宋体" w:cs="宋体"/>
                <w:color w:val="000000"/>
                <w:kern w:val="0"/>
                <w:sz w:val="20"/>
                <w:szCs w:val="20"/>
                <w:lang w:bidi="ar"/>
              </w:rPr>
              <w:t>行政处罚</w:t>
            </w:r>
          </w:p>
        </w:tc>
        <w:tc>
          <w:tcPr>
            <w:tcW w:w="7305" w:type="dxa"/>
            <w:gridSpan w:val="3"/>
            <w:tcBorders>
              <w:top w:val="nil"/>
              <w:left w:val="nil"/>
              <w:bottom w:val="single" w:color="auto" w:sz="8" w:space="0"/>
              <w:right w:val="single" w:color="auto" w:sz="8" w:space="0"/>
            </w:tcBorders>
            <w:tcMar>
              <w:left w:w="57" w:type="dxa"/>
              <w:right w:w="57" w:type="dxa"/>
            </w:tcMar>
            <w:vAlign w:val="center"/>
          </w:tcPr>
          <w:p>
            <w:pPr>
              <w:widowControl/>
              <w:jc w:val="center"/>
              <w:rPr>
                <w:rFonts w:cs="宋体" w:asciiTheme="minorHAnsi" w:hAnsiTheme="minorHAnsi"/>
                <w:color w:val="000000"/>
                <w:kern w:val="0"/>
                <w:szCs w:val="21"/>
                <w:lang w:bidi="ar"/>
              </w:rPr>
            </w:pPr>
            <w:r>
              <w:rPr>
                <w:rFonts w:hint="eastAsia" w:cs="宋体" w:asciiTheme="minorHAnsi" w:hAnsiTheme="minorHAnsi"/>
                <w:color w:val="000000"/>
                <w:kern w:val="0"/>
                <w:szCs w:val="21"/>
                <w:lang w:bidi="ar"/>
              </w:rPr>
              <w:t>　0</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pPr>
              <w:widowControl/>
              <w:jc w:val="left"/>
            </w:pPr>
            <w:r>
              <w:rPr>
                <w:rFonts w:hint="eastAsia" w:ascii="宋体" w:hAnsi="宋体" w:cs="宋体"/>
                <w:color w:val="000000"/>
                <w:kern w:val="0"/>
                <w:sz w:val="20"/>
                <w:szCs w:val="20"/>
                <w:lang w:bidi="ar"/>
              </w:rPr>
              <w:t>行政强制</w:t>
            </w:r>
          </w:p>
        </w:tc>
        <w:tc>
          <w:tcPr>
            <w:tcW w:w="7305" w:type="dxa"/>
            <w:gridSpan w:val="3"/>
            <w:tcBorders>
              <w:top w:val="nil"/>
              <w:left w:val="nil"/>
              <w:bottom w:val="single" w:color="auto" w:sz="8" w:space="0"/>
              <w:right w:val="single" w:color="auto" w:sz="8" w:space="0"/>
            </w:tcBorders>
            <w:tcMar>
              <w:left w:w="57" w:type="dxa"/>
              <w:right w:w="57" w:type="dxa"/>
            </w:tcMar>
            <w:vAlign w:val="center"/>
          </w:tcPr>
          <w:p>
            <w:pPr>
              <w:widowControl/>
              <w:jc w:val="center"/>
              <w:rPr>
                <w:rFonts w:cs="宋体" w:asciiTheme="minorHAnsi" w:hAnsiTheme="minorHAnsi"/>
                <w:color w:val="000000"/>
                <w:kern w:val="0"/>
                <w:szCs w:val="21"/>
                <w:lang w:bidi="ar"/>
              </w:rPr>
            </w:pPr>
            <w:r>
              <w:rPr>
                <w:rFonts w:hint="eastAsia" w:cs="宋体" w:asciiTheme="minorHAnsi" w:hAnsiTheme="minorHAnsi"/>
                <w:color w:val="000000"/>
                <w:kern w:val="0"/>
                <w:szCs w:val="21"/>
                <w:lang w:bidi="ar"/>
              </w:rPr>
              <w:t>　0</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9BC2E6"/>
            <w:tcMar>
              <w:left w:w="57" w:type="dxa"/>
              <w:right w:w="57" w:type="dxa"/>
            </w:tcMar>
            <w:vAlign w:val="center"/>
          </w:tcPr>
          <w:p>
            <w:pPr>
              <w:widowControl/>
              <w:jc w:val="center"/>
            </w:pPr>
            <w:r>
              <w:rPr>
                <w:rFonts w:hint="eastAsia" w:ascii="宋体" w:hAnsi="宋体" w:cs="宋体"/>
                <w:color w:val="000000"/>
                <w:kern w:val="0"/>
                <w:sz w:val="20"/>
                <w:szCs w:val="20"/>
                <w:lang w:bidi="ar"/>
              </w:rPr>
              <w:t>第二十条第（八）项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pPr>
              <w:widowControl/>
              <w:jc w:val="center"/>
            </w:pPr>
            <w:r>
              <w:rPr>
                <w:rFonts w:hint="eastAsia" w:ascii="宋体" w:hAnsi="宋体" w:cs="宋体"/>
                <w:color w:val="000000"/>
                <w:kern w:val="0"/>
                <w:sz w:val="20"/>
                <w:szCs w:val="20"/>
                <w:lang w:bidi="ar"/>
              </w:rPr>
              <w:t>信息内容</w:t>
            </w:r>
          </w:p>
        </w:tc>
        <w:tc>
          <w:tcPr>
            <w:tcW w:w="7305" w:type="dxa"/>
            <w:gridSpan w:val="3"/>
            <w:tcBorders>
              <w:top w:val="nil"/>
              <w:left w:val="nil"/>
              <w:bottom w:val="single" w:color="auto" w:sz="8" w:space="0"/>
              <w:right w:val="single" w:color="000000" w:sz="8" w:space="0"/>
            </w:tcBorders>
            <w:shd w:val="clear" w:color="auto" w:fill="DDEBF7"/>
            <w:tcMar>
              <w:left w:w="57" w:type="dxa"/>
              <w:right w:w="57" w:type="dxa"/>
            </w:tcMar>
            <w:vAlign w:val="center"/>
          </w:tcPr>
          <w:p>
            <w:pPr>
              <w:widowControl/>
              <w:jc w:val="center"/>
            </w:pPr>
            <w:r>
              <w:rPr>
                <w:rFonts w:hint="eastAsia" w:ascii="宋体" w:hAnsi="宋体" w:cs="宋体"/>
                <w:color w:val="000000"/>
                <w:kern w:val="0"/>
                <w:sz w:val="20"/>
                <w:szCs w:val="20"/>
                <w:lang w:bidi="ar"/>
              </w:rPr>
              <w:t>本年收费金额（单位：万元）</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pPr>
              <w:widowControl/>
              <w:jc w:val="left"/>
            </w:pPr>
            <w:r>
              <w:rPr>
                <w:rFonts w:hint="eastAsia" w:ascii="宋体" w:hAnsi="宋体" w:cs="宋体"/>
                <w:color w:val="000000"/>
                <w:kern w:val="0"/>
                <w:sz w:val="20"/>
                <w:szCs w:val="20"/>
                <w:lang w:bidi="ar"/>
              </w:rPr>
              <w:t>行政事业性收费</w:t>
            </w:r>
          </w:p>
        </w:tc>
        <w:tc>
          <w:tcPr>
            <w:tcW w:w="7305" w:type="dxa"/>
            <w:gridSpan w:val="3"/>
            <w:tcBorders>
              <w:top w:val="nil"/>
              <w:left w:val="nil"/>
              <w:bottom w:val="single" w:color="auto" w:sz="8" w:space="0"/>
              <w:right w:val="single" w:color="000000" w:sz="8" w:space="0"/>
            </w:tcBorders>
            <w:tcMar>
              <w:left w:w="57" w:type="dxa"/>
              <w:right w:w="57" w:type="dxa"/>
            </w:tcMar>
            <w:vAlign w:val="center"/>
          </w:tcPr>
          <w:p>
            <w:pPr>
              <w:widowControl/>
              <w:jc w:val="center"/>
              <w:rPr>
                <w:rFonts w:ascii="宋体"/>
                <w:sz w:val="24"/>
                <w:szCs w:val="24"/>
              </w:rPr>
            </w:pPr>
            <w:r>
              <w:rPr>
                <w:rFonts w:hint="eastAsia" w:cs="宋体" w:asciiTheme="minorHAnsi" w:hAnsiTheme="minorHAnsi"/>
                <w:color w:val="000000"/>
                <w:kern w:val="0"/>
                <w:szCs w:val="21"/>
                <w:lang w:bidi="ar"/>
              </w:rPr>
              <w:t>0</w:t>
            </w:r>
          </w:p>
        </w:tc>
      </w:tr>
    </w:tbl>
    <w:p>
      <w:pPr>
        <w:pStyle w:val="2"/>
      </w:pPr>
    </w:p>
    <w:p>
      <w:pPr>
        <w:pStyle w:val="2"/>
      </w:pPr>
    </w:p>
    <w:p>
      <w:pPr>
        <w:pStyle w:val="2"/>
      </w:pPr>
    </w:p>
    <w:p>
      <w:pPr>
        <w:pStyle w:val="2"/>
      </w:pPr>
    </w:p>
    <w:p>
      <w:pPr>
        <w:pStyle w:val="2"/>
      </w:pPr>
    </w:p>
    <w:p>
      <w:pPr>
        <w:numPr>
          <w:ilvl w:val="0"/>
          <w:numId w:val="1"/>
        </w:numPr>
        <w:spacing w:line="560" w:lineRule="exact"/>
        <w:ind w:firstLine="640"/>
        <w:rPr>
          <w:rFonts w:hint="eastAsia" w:ascii="宋体" w:hAnsi="宋体" w:cs="宋体"/>
          <w:color w:val="333333"/>
          <w:sz w:val="24"/>
          <w:szCs w:val="24"/>
        </w:rPr>
      </w:pPr>
      <w:r>
        <w:rPr>
          <w:rFonts w:hint="eastAsia" w:ascii="黑体" w:hAnsi="黑体" w:eastAsia="黑体" w:cs="黑体"/>
          <w:sz w:val="32"/>
          <w:szCs w:val="32"/>
        </w:rPr>
        <w:t>收到和处理政府信息公开申请情况</w:t>
      </w:r>
    </w:p>
    <w:tbl>
      <w:tblPr>
        <w:tblStyle w:val="6"/>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768"/>
        <w:gridCol w:w="943"/>
        <w:gridCol w:w="3220"/>
        <w:gridCol w:w="688"/>
        <w:gridCol w:w="688"/>
        <w:gridCol w:w="688"/>
        <w:gridCol w:w="688"/>
        <w:gridCol w:w="688"/>
        <w:gridCol w:w="688"/>
        <w:gridCol w:w="689"/>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vMerge w:val="restart"/>
            <w:tcBorders>
              <w:top w:val="single" w:color="auto" w:sz="8" w:space="0"/>
              <w:left w:val="single" w:color="auto" w:sz="8" w:space="0"/>
              <w:bottom w:val="outset" w:color="auto" w:sz="8" w:space="0"/>
              <w:right w:val="single" w:color="auto" w:sz="8" w:space="0"/>
            </w:tcBorders>
            <w:shd w:val="clear" w:color="auto" w:fill="9BC2E6"/>
            <w:tcMar>
              <w:left w:w="108" w:type="dxa"/>
              <w:right w:w="108" w:type="dxa"/>
            </w:tcMar>
            <w:vAlign w:val="center"/>
          </w:tcPr>
          <w:p>
            <w:pPr>
              <w:widowControl/>
              <w:jc w:val="left"/>
            </w:pPr>
            <w:r>
              <w:rPr>
                <w:rFonts w:ascii="楷体" w:hAnsi="楷体" w:eastAsia="楷体" w:cs="楷体"/>
                <w:kern w:val="0"/>
                <w:sz w:val="20"/>
                <w:szCs w:val="20"/>
                <w:lang w:bidi="ar"/>
              </w:rPr>
              <w:t>（本列数据的勾稽关系为：第一项加第二项之和，等于第三项加第四项之和）</w:t>
            </w:r>
          </w:p>
        </w:tc>
        <w:tc>
          <w:tcPr>
            <w:tcW w:w="4817" w:type="dxa"/>
            <w:gridSpan w:val="7"/>
            <w:tcBorders>
              <w:top w:val="single" w:color="auto" w:sz="8" w:space="0"/>
              <w:left w:val="nil"/>
              <w:bottom w:val="single" w:color="auto" w:sz="8" w:space="0"/>
              <w:right w:val="single" w:color="auto" w:sz="8" w:space="0"/>
            </w:tcBorders>
            <w:shd w:val="clear" w:color="auto" w:fill="9BC2E6"/>
            <w:tcMar>
              <w:left w:w="57" w:type="dxa"/>
              <w:right w:w="57" w:type="dxa"/>
            </w:tcMar>
            <w:vAlign w:val="center"/>
          </w:tcPr>
          <w:p>
            <w:pPr>
              <w:widowControl/>
              <w:jc w:val="center"/>
            </w:pPr>
            <w:r>
              <w:rPr>
                <w:rFonts w:hint="eastAsia" w:ascii="宋体" w:hAnsi="宋体" w:cs="宋体"/>
                <w:kern w:val="0"/>
                <w:sz w:val="20"/>
                <w:szCs w:val="20"/>
                <w:lang w:bidi="ar"/>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vMerge w:val="continue"/>
            <w:tcBorders>
              <w:top w:val="single" w:color="auto" w:sz="8" w:space="0"/>
              <w:left w:val="single" w:color="auto" w:sz="8" w:space="0"/>
              <w:bottom w:val="outset" w:color="auto" w:sz="8" w:space="0"/>
              <w:right w:val="single" w:color="auto" w:sz="8" w:space="0"/>
            </w:tcBorders>
            <w:shd w:val="clear" w:color="auto" w:fill="9BC2E6"/>
            <w:tcMar>
              <w:left w:w="108" w:type="dxa"/>
              <w:right w:w="108" w:type="dxa"/>
            </w:tcMar>
            <w:vAlign w:val="center"/>
          </w:tcPr>
          <w:p>
            <w:pPr>
              <w:rPr>
                <w:rFonts w:ascii="宋体"/>
                <w:sz w:val="24"/>
                <w:szCs w:val="24"/>
              </w:rPr>
            </w:pPr>
          </w:p>
        </w:tc>
        <w:tc>
          <w:tcPr>
            <w:tcW w:w="688" w:type="dxa"/>
            <w:vMerge w:val="restart"/>
            <w:tcBorders>
              <w:top w:val="nil"/>
              <w:left w:val="nil"/>
              <w:bottom w:val="single" w:color="auto" w:sz="8" w:space="0"/>
              <w:right w:val="single" w:color="auto" w:sz="8" w:space="0"/>
            </w:tcBorders>
            <w:shd w:val="clear" w:color="auto" w:fill="9BC2E6"/>
            <w:tcMar>
              <w:left w:w="57" w:type="dxa"/>
              <w:right w:w="57" w:type="dxa"/>
            </w:tcMar>
            <w:vAlign w:val="center"/>
          </w:tcPr>
          <w:p>
            <w:pPr>
              <w:widowControl/>
              <w:jc w:val="center"/>
            </w:pPr>
            <w:r>
              <w:rPr>
                <w:rFonts w:hint="eastAsia" w:ascii="宋体" w:hAnsi="宋体" w:cs="宋体"/>
                <w:kern w:val="0"/>
                <w:sz w:val="20"/>
                <w:szCs w:val="20"/>
                <w:lang w:bidi="ar"/>
              </w:rPr>
              <w:t>自然人</w:t>
            </w:r>
          </w:p>
        </w:tc>
        <w:tc>
          <w:tcPr>
            <w:tcW w:w="3440" w:type="dxa"/>
            <w:gridSpan w:val="5"/>
            <w:tcBorders>
              <w:top w:val="single" w:color="auto" w:sz="8" w:space="0"/>
              <w:left w:val="nil"/>
              <w:bottom w:val="single" w:color="auto" w:sz="8" w:space="0"/>
              <w:right w:val="single" w:color="auto" w:sz="8" w:space="0"/>
            </w:tcBorders>
            <w:shd w:val="clear" w:color="auto" w:fill="9BC2E6"/>
            <w:tcMar>
              <w:left w:w="57" w:type="dxa"/>
              <w:right w:w="57" w:type="dxa"/>
            </w:tcMar>
            <w:vAlign w:val="center"/>
          </w:tcPr>
          <w:p>
            <w:pPr>
              <w:widowControl/>
              <w:jc w:val="center"/>
            </w:pPr>
            <w:r>
              <w:rPr>
                <w:rFonts w:hint="eastAsia" w:ascii="宋体" w:hAnsi="宋体" w:cs="宋体"/>
                <w:kern w:val="0"/>
                <w:sz w:val="20"/>
                <w:szCs w:val="20"/>
                <w:lang w:bidi="ar"/>
              </w:rPr>
              <w:t>法人或其他组织</w:t>
            </w:r>
          </w:p>
        </w:tc>
        <w:tc>
          <w:tcPr>
            <w:tcW w:w="689" w:type="dxa"/>
            <w:vMerge w:val="restart"/>
            <w:tcBorders>
              <w:top w:val="single" w:color="auto" w:sz="8" w:space="0"/>
              <w:left w:val="nil"/>
              <w:bottom w:val="outset" w:color="auto" w:sz="8" w:space="0"/>
              <w:right w:val="single" w:color="auto" w:sz="8" w:space="0"/>
            </w:tcBorders>
            <w:shd w:val="clear" w:color="auto" w:fill="9BC2E6"/>
            <w:tcMar>
              <w:left w:w="57" w:type="dxa"/>
              <w:right w:w="57" w:type="dxa"/>
            </w:tcMar>
            <w:vAlign w:val="center"/>
          </w:tcPr>
          <w:p>
            <w:pPr>
              <w:widowControl/>
              <w:jc w:val="center"/>
            </w:pPr>
            <w:r>
              <w:rPr>
                <w:rFonts w:hint="eastAsia" w:ascii="宋体" w:hAnsi="宋体" w:cs="宋体"/>
                <w:kern w:val="0"/>
                <w:sz w:val="20"/>
                <w:szCs w:val="20"/>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vMerge w:val="continue"/>
            <w:tcBorders>
              <w:top w:val="single" w:color="auto" w:sz="8" w:space="0"/>
              <w:left w:val="single" w:color="auto" w:sz="8" w:space="0"/>
              <w:bottom w:val="outset" w:color="auto" w:sz="8" w:space="0"/>
              <w:right w:val="single" w:color="auto" w:sz="8" w:space="0"/>
            </w:tcBorders>
            <w:shd w:val="clear" w:color="auto" w:fill="9BC2E6"/>
            <w:tcMar>
              <w:left w:w="108" w:type="dxa"/>
              <w:right w:w="108" w:type="dxa"/>
            </w:tcMar>
            <w:vAlign w:val="center"/>
          </w:tcPr>
          <w:p>
            <w:pPr>
              <w:rPr>
                <w:rFonts w:ascii="宋体"/>
                <w:sz w:val="24"/>
                <w:szCs w:val="24"/>
              </w:rPr>
            </w:pPr>
          </w:p>
        </w:tc>
        <w:tc>
          <w:tcPr>
            <w:tcW w:w="688" w:type="dxa"/>
            <w:vMerge w:val="continue"/>
            <w:tcBorders>
              <w:top w:val="nil"/>
              <w:left w:val="nil"/>
              <w:bottom w:val="single" w:color="auto" w:sz="8" w:space="0"/>
              <w:right w:val="single" w:color="auto" w:sz="8" w:space="0"/>
            </w:tcBorders>
            <w:shd w:val="clear" w:color="auto" w:fill="9BC2E6"/>
            <w:tcMar>
              <w:left w:w="57" w:type="dxa"/>
              <w:right w:w="57" w:type="dxa"/>
            </w:tcMar>
            <w:vAlign w:val="center"/>
          </w:tcPr>
          <w:p>
            <w:pPr>
              <w:rPr>
                <w:rFonts w:ascii="宋体"/>
                <w:sz w:val="24"/>
                <w:szCs w:val="24"/>
              </w:rPr>
            </w:pPr>
          </w:p>
        </w:tc>
        <w:tc>
          <w:tcPr>
            <w:tcW w:w="688" w:type="dxa"/>
            <w:tcBorders>
              <w:top w:val="nil"/>
              <w:left w:val="nil"/>
              <w:bottom w:val="single" w:color="auto" w:sz="8" w:space="0"/>
              <w:right w:val="single" w:color="auto" w:sz="8" w:space="0"/>
            </w:tcBorders>
            <w:shd w:val="clear" w:color="auto" w:fill="9BC2E6"/>
            <w:tcMar>
              <w:left w:w="57" w:type="dxa"/>
              <w:right w:w="57" w:type="dxa"/>
            </w:tcMar>
            <w:vAlign w:val="center"/>
          </w:tcPr>
          <w:p>
            <w:pPr>
              <w:widowControl/>
              <w:jc w:val="center"/>
            </w:pPr>
            <w:r>
              <w:rPr>
                <w:rFonts w:hint="eastAsia" w:ascii="宋体" w:hAnsi="宋体" w:cs="宋体"/>
                <w:kern w:val="0"/>
                <w:sz w:val="20"/>
                <w:szCs w:val="20"/>
                <w:lang w:bidi="ar"/>
              </w:rPr>
              <w:t>商业</w:t>
            </w:r>
          </w:p>
          <w:p>
            <w:pPr>
              <w:widowControl/>
              <w:jc w:val="center"/>
            </w:pPr>
            <w:r>
              <w:rPr>
                <w:rFonts w:hint="eastAsia" w:ascii="宋体" w:hAnsi="宋体" w:cs="宋体"/>
                <w:kern w:val="0"/>
                <w:sz w:val="20"/>
                <w:szCs w:val="20"/>
                <w:lang w:bidi="ar"/>
              </w:rPr>
              <w:t>企业</w:t>
            </w:r>
          </w:p>
        </w:tc>
        <w:tc>
          <w:tcPr>
            <w:tcW w:w="688" w:type="dxa"/>
            <w:tcBorders>
              <w:top w:val="nil"/>
              <w:left w:val="nil"/>
              <w:bottom w:val="single" w:color="auto" w:sz="8" w:space="0"/>
              <w:right w:val="single" w:color="auto" w:sz="8" w:space="0"/>
            </w:tcBorders>
            <w:shd w:val="clear" w:color="auto" w:fill="9BC2E6"/>
            <w:tcMar>
              <w:left w:w="57" w:type="dxa"/>
              <w:right w:w="57" w:type="dxa"/>
            </w:tcMar>
            <w:vAlign w:val="center"/>
          </w:tcPr>
          <w:p>
            <w:pPr>
              <w:widowControl/>
              <w:jc w:val="center"/>
            </w:pPr>
            <w:r>
              <w:rPr>
                <w:rFonts w:hint="eastAsia" w:ascii="宋体" w:hAnsi="宋体" w:cs="宋体"/>
                <w:kern w:val="0"/>
                <w:sz w:val="20"/>
                <w:szCs w:val="20"/>
                <w:lang w:bidi="ar"/>
              </w:rPr>
              <w:t>科研</w:t>
            </w:r>
          </w:p>
          <w:p>
            <w:pPr>
              <w:widowControl/>
              <w:jc w:val="center"/>
            </w:pPr>
            <w:r>
              <w:rPr>
                <w:rFonts w:hint="eastAsia" w:ascii="宋体" w:hAnsi="宋体" w:cs="宋体"/>
                <w:kern w:val="0"/>
                <w:sz w:val="20"/>
                <w:szCs w:val="20"/>
                <w:lang w:bidi="ar"/>
              </w:rPr>
              <w:t>机构</w:t>
            </w:r>
          </w:p>
        </w:tc>
        <w:tc>
          <w:tcPr>
            <w:tcW w:w="688" w:type="dxa"/>
            <w:tcBorders>
              <w:top w:val="single" w:color="auto" w:sz="8" w:space="0"/>
              <w:left w:val="nil"/>
              <w:bottom w:val="single" w:color="auto" w:sz="8" w:space="0"/>
              <w:right w:val="single" w:color="auto" w:sz="8" w:space="0"/>
            </w:tcBorders>
            <w:shd w:val="clear" w:color="auto" w:fill="9BC2E6"/>
            <w:tcMar>
              <w:left w:w="57" w:type="dxa"/>
              <w:right w:w="57" w:type="dxa"/>
            </w:tcMar>
            <w:vAlign w:val="center"/>
          </w:tcPr>
          <w:p>
            <w:pPr>
              <w:widowControl/>
              <w:jc w:val="center"/>
            </w:pPr>
            <w:r>
              <w:rPr>
                <w:rFonts w:hint="eastAsia" w:ascii="宋体" w:hAnsi="宋体" w:cs="宋体"/>
                <w:kern w:val="0"/>
                <w:sz w:val="20"/>
                <w:szCs w:val="20"/>
                <w:lang w:bidi="ar"/>
              </w:rPr>
              <w:t>社会公益组织</w:t>
            </w:r>
          </w:p>
        </w:tc>
        <w:tc>
          <w:tcPr>
            <w:tcW w:w="688" w:type="dxa"/>
            <w:tcBorders>
              <w:top w:val="single" w:color="auto" w:sz="8" w:space="0"/>
              <w:left w:val="nil"/>
              <w:bottom w:val="single" w:color="auto" w:sz="8" w:space="0"/>
              <w:right w:val="single" w:color="auto" w:sz="8" w:space="0"/>
            </w:tcBorders>
            <w:shd w:val="clear" w:color="auto" w:fill="9BC2E6"/>
            <w:tcMar>
              <w:left w:w="57" w:type="dxa"/>
              <w:right w:w="57" w:type="dxa"/>
            </w:tcMar>
            <w:vAlign w:val="center"/>
          </w:tcPr>
          <w:p>
            <w:pPr>
              <w:widowControl/>
              <w:jc w:val="center"/>
            </w:pPr>
            <w:r>
              <w:rPr>
                <w:rFonts w:hint="eastAsia" w:ascii="宋体" w:hAnsi="宋体" w:cs="宋体"/>
                <w:kern w:val="0"/>
                <w:sz w:val="20"/>
                <w:szCs w:val="20"/>
                <w:lang w:bidi="ar"/>
              </w:rPr>
              <w:t>法律服务机构</w:t>
            </w:r>
          </w:p>
        </w:tc>
        <w:tc>
          <w:tcPr>
            <w:tcW w:w="688" w:type="dxa"/>
            <w:tcBorders>
              <w:top w:val="single" w:color="auto" w:sz="8" w:space="0"/>
              <w:left w:val="nil"/>
              <w:bottom w:val="single" w:color="auto" w:sz="8" w:space="0"/>
              <w:right w:val="single" w:color="auto" w:sz="8" w:space="0"/>
            </w:tcBorders>
            <w:shd w:val="clear" w:color="auto" w:fill="9BC2E6"/>
            <w:tcMar>
              <w:left w:w="57" w:type="dxa"/>
              <w:right w:w="57" w:type="dxa"/>
            </w:tcMar>
            <w:vAlign w:val="center"/>
          </w:tcPr>
          <w:p>
            <w:pPr>
              <w:widowControl/>
              <w:jc w:val="center"/>
            </w:pPr>
            <w:r>
              <w:rPr>
                <w:rFonts w:hint="eastAsia" w:ascii="宋体" w:hAnsi="宋体" w:cs="宋体"/>
                <w:kern w:val="0"/>
                <w:sz w:val="20"/>
                <w:szCs w:val="20"/>
                <w:lang w:bidi="ar"/>
              </w:rPr>
              <w:t>其他</w:t>
            </w:r>
          </w:p>
        </w:tc>
        <w:tc>
          <w:tcPr>
            <w:tcW w:w="689" w:type="dxa"/>
            <w:vMerge w:val="continue"/>
            <w:tcBorders>
              <w:top w:val="single" w:color="auto" w:sz="8" w:space="0"/>
              <w:left w:val="nil"/>
              <w:bottom w:val="outset" w:color="auto" w:sz="8" w:space="0"/>
              <w:right w:val="single" w:color="auto" w:sz="8" w:space="0"/>
            </w:tcBorders>
            <w:shd w:val="clear" w:color="auto" w:fill="9BC2E6"/>
            <w:tcMar>
              <w:left w:w="57" w:type="dxa"/>
              <w:right w:w="57" w:type="dxa"/>
            </w:tcMar>
            <w:vAlign w:val="center"/>
          </w:tcPr>
          <w:p>
            <w:pPr>
              <w:rPr>
                <w:rFonts w:ascii="宋体"/>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pPr>
              <w:widowControl/>
              <w:jc w:val="left"/>
            </w:pPr>
            <w:r>
              <w:rPr>
                <w:rFonts w:hint="eastAsia" w:ascii="宋体" w:hAnsi="宋体" w:cs="宋体"/>
                <w:kern w:val="0"/>
                <w:sz w:val="20"/>
                <w:szCs w:val="20"/>
                <w:lang w:bidi="ar"/>
              </w:rPr>
              <w:t>一、本年新收政府信息公开申请数量</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9"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pPr>
              <w:widowControl/>
              <w:jc w:val="left"/>
            </w:pPr>
            <w:r>
              <w:rPr>
                <w:rFonts w:hint="eastAsia" w:ascii="宋体" w:hAnsi="宋体" w:cs="宋体"/>
                <w:kern w:val="0"/>
                <w:sz w:val="20"/>
                <w:szCs w:val="20"/>
                <w:lang w:bidi="ar"/>
              </w:rPr>
              <w:t>二、上年结转政府信息公开申请数量</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9"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restart"/>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widowControl/>
              <w:jc w:val="left"/>
            </w:pPr>
            <w:r>
              <w:rPr>
                <w:rFonts w:hint="eastAsia" w:ascii="宋体" w:hAnsi="宋体" w:cs="宋体"/>
                <w:kern w:val="0"/>
                <w:sz w:val="20"/>
                <w:szCs w:val="20"/>
                <w:lang w:bidi="ar"/>
              </w:rPr>
              <w:t>三、本年度办理结果</w:t>
            </w:r>
          </w:p>
        </w:tc>
        <w:tc>
          <w:tcPr>
            <w:tcW w:w="4163" w:type="dxa"/>
            <w:gridSpan w:val="2"/>
            <w:tcBorders>
              <w:top w:val="nil"/>
              <w:left w:val="nil"/>
              <w:bottom w:val="single" w:color="auto" w:sz="8" w:space="0"/>
              <w:right w:val="single" w:color="auto" w:sz="8" w:space="0"/>
            </w:tcBorders>
            <w:shd w:val="clear" w:color="auto" w:fill="DDEBF7"/>
            <w:tcMar>
              <w:left w:w="57" w:type="dxa"/>
              <w:right w:w="57" w:type="dxa"/>
            </w:tcMar>
            <w:vAlign w:val="center"/>
          </w:tcPr>
          <w:p>
            <w:pPr>
              <w:widowControl/>
              <w:jc w:val="left"/>
            </w:pPr>
            <w:r>
              <w:rPr>
                <w:rFonts w:hint="eastAsia" w:ascii="宋体" w:hAnsi="宋体" w:cs="宋体"/>
                <w:kern w:val="0"/>
                <w:sz w:val="20"/>
                <w:szCs w:val="20"/>
                <w:lang w:bidi="ar"/>
              </w:rPr>
              <w:t>（一）予以公开</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9" w:type="dxa"/>
            <w:tcBorders>
              <w:top w:val="single" w:color="auto" w:sz="8" w:space="0"/>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4163" w:type="dxa"/>
            <w:gridSpan w:val="2"/>
            <w:tcBorders>
              <w:top w:val="nil"/>
              <w:left w:val="nil"/>
              <w:bottom w:val="single" w:color="auto" w:sz="8" w:space="0"/>
              <w:right w:val="single" w:color="auto" w:sz="8" w:space="0"/>
            </w:tcBorders>
            <w:shd w:val="clear" w:color="auto" w:fill="DDEBF7"/>
            <w:tcMar>
              <w:left w:w="57" w:type="dxa"/>
              <w:right w:w="57" w:type="dxa"/>
            </w:tcMar>
            <w:vAlign w:val="center"/>
          </w:tcPr>
          <w:p>
            <w:pPr>
              <w:widowControl/>
              <w:jc w:val="left"/>
            </w:pPr>
            <w:r>
              <w:rPr>
                <w:rFonts w:hint="eastAsia" w:ascii="宋体" w:hAnsi="宋体" w:cs="宋体"/>
                <w:kern w:val="0"/>
                <w:sz w:val="20"/>
                <w:szCs w:val="20"/>
                <w:lang w:bidi="ar"/>
              </w:rPr>
              <w:t>（二）部分公开</w:t>
            </w:r>
            <w:r>
              <w:rPr>
                <w:rFonts w:ascii="楷体" w:hAnsi="楷体" w:eastAsia="楷体" w:cs="楷体"/>
                <w:kern w:val="0"/>
                <w:sz w:val="20"/>
                <w:szCs w:val="20"/>
                <w:lang w:bidi="ar"/>
              </w:rPr>
              <w:t>（区分处理的，只计这一情形，不计其他情形）</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9"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restart"/>
            <w:tcBorders>
              <w:top w:val="nil"/>
              <w:left w:val="nil"/>
              <w:bottom w:val="outset" w:color="auto" w:sz="8" w:space="0"/>
              <w:right w:val="single" w:color="auto" w:sz="8" w:space="0"/>
            </w:tcBorders>
            <w:shd w:val="clear" w:color="auto" w:fill="DDEBF7"/>
            <w:tcMar>
              <w:left w:w="57" w:type="dxa"/>
              <w:right w:w="57" w:type="dxa"/>
            </w:tcMar>
            <w:vAlign w:val="center"/>
          </w:tcPr>
          <w:p>
            <w:pPr>
              <w:widowControl/>
              <w:jc w:val="left"/>
            </w:pPr>
            <w:r>
              <w:rPr>
                <w:rFonts w:hint="eastAsia" w:ascii="宋体" w:hAnsi="宋体" w:cs="宋体"/>
                <w:kern w:val="0"/>
                <w:sz w:val="20"/>
                <w:szCs w:val="20"/>
                <w:lang w:bidi="ar"/>
              </w:rPr>
              <w:t>（三）不予公开</w:t>
            </w: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widowControl/>
              <w:jc w:val="left"/>
            </w:pPr>
            <w:r>
              <w:rPr>
                <w:rFonts w:hint="eastAsia" w:ascii="宋体" w:hAnsi="宋体" w:cs="宋体"/>
                <w:kern w:val="0"/>
                <w:sz w:val="20"/>
                <w:szCs w:val="20"/>
                <w:lang w:bidi="ar"/>
              </w:rPr>
              <w:t>1.属于国家秘密</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9" w:type="dxa"/>
            <w:tcBorders>
              <w:top w:val="single" w:color="auto" w:sz="8" w:space="0"/>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pPr>
              <w:rPr>
                <w:rFonts w:ascii="宋体"/>
                <w:sz w:val="24"/>
                <w:szCs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widowControl/>
              <w:jc w:val="left"/>
            </w:pPr>
            <w:r>
              <w:rPr>
                <w:rFonts w:hint="eastAsia" w:ascii="宋体" w:hAnsi="宋体" w:cs="宋体"/>
                <w:kern w:val="0"/>
                <w:sz w:val="20"/>
                <w:szCs w:val="20"/>
                <w:lang w:bidi="ar"/>
              </w:rPr>
              <w:t>2.其他法律行政法规禁止公开</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9"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pPr>
              <w:rPr>
                <w:rFonts w:ascii="宋体"/>
                <w:sz w:val="24"/>
                <w:szCs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widowControl/>
              <w:jc w:val="left"/>
            </w:pPr>
            <w:r>
              <w:rPr>
                <w:rFonts w:hint="eastAsia" w:ascii="宋体" w:hAnsi="宋体" w:cs="宋体"/>
                <w:kern w:val="0"/>
                <w:sz w:val="20"/>
                <w:szCs w:val="20"/>
                <w:lang w:bidi="ar"/>
              </w:rPr>
              <w:t>3.危及“三安全一稳定”</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9"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pPr>
              <w:rPr>
                <w:rFonts w:ascii="宋体"/>
                <w:sz w:val="24"/>
                <w:szCs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widowControl/>
              <w:jc w:val="left"/>
            </w:pPr>
            <w:r>
              <w:rPr>
                <w:rFonts w:hint="eastAsia" w:ascii="宋体" w:hAnsi="宋体" w:cs="宋体"/>
                <w:kern w:val="0"/>
                <w:sz w:val="20"/>
                <w:szCs w:val="20"/>
                <w:lang w:bidi="ar"/>
              </w:rPr>
              <w:t>4.保护第三方合法权益</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9"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pPr>
              <w:rPr>
                <w:rFonts w:ascii="宋体"/>
                <w:sz w:val="24"/>
                <w:szCs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widowControl/>
              <w:jc w:val="left"/>
            </w:pPr>
            <w:r>
              <w:rPr>
                <w:rFonts w:hint="eastAsia" w:ascii="宋体" w:hAnsi="宋体" w:cs="宋体"/>
                <w:kern w:val="0"/>
                <w:sz w:val="20"/>
                <w:szCs w:val="20"/>
                <w:lang w:bidi="ar"/>
              </w:rPr>
              <w:t>5.属于三类内部事务信息</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9"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pPr>
              <w:rPr>
                <w:rFonts w:ascii="宋体"/>
                <w:sz w:val="24"/>
                <w:szCs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widowControl/>
              <w:jc w:val="left"/>
            </w:pPr>
            <w:r>
              <w:rPr>
                <w:rFonts w:hint="eastAsia" w:ascii="宋体" w:hAnsi="宋体" w:cs="宋体"/>
                <w:kern w:val="0"/>
                <w:sz w:val="20"/>
                <w:szCs w:val="20"/>
                <w:lang w:bidi="ar"/>
              </w:rPr>
              <w:t>6.属于四类过程性信息</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9"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pPr>
              <w:rPr>
                <w:rFonts w:ascii="宋体"/>
                <w:sz w:val="24"/>
                <w:szCs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widowControl/>
              <w:jc w:val="left"/>
            </w:pPr>
            <w:r>
              <w:rPr>
                <w:rFonts w:hint="eastAsia" w:ascii="宋体" w:hAnsi="宋体" w:cs="宋体"/>
                <w:kern w:val="0"/>
                <w:sz w:val="20"/>
                <w:szCs w:val="20"/>
                <w:lang w:bidi="ar"/>
              </w:rPr>
              <w:t>7.属于行政执法案卷</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9"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pPr>
              <w:rPr>
                <w:rFonts w:ascii="宋体"/>
                <w:sz w:val="24"/>
                <w:szCs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widowControl/>
              <w:jc w:val="left"/>
            </w:pPr>
            <w:r>
              <w:rPr>
                <w:rFonts w:hint="eastAsia" w:ascii="宋体" w:hAnsi="宋体" w:cs="宋体"/>
                <w:kern w:val="0"/>
                <w:sz w:val="20"/>
                <w:szCs w:val="20"/>
                <w:lang w:bidi="ar"/>
              </w:rPr>
              <w:t>8.属于行政查询事项</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9"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restart"/>
            <w:tcBorders>
              <w:top w:val="nil"/>
              <w:left w:val="nil"/>
              <w:bottom w:val="outset" w:color="auto" w:sz="8" w:space="0"/>
              <w:right w:val="single" w:color="auto" w:sz="8" w:space="0"/>
            </w:tcBorders>
            <w:shd w:val="clear" w:color="auto" w:fill="DDEBF7"/>
            <w:tcMar>
              <w:left w:w="57" w:type="dxa"/>
              <w:right w:w="57" w:type="dxa"/>
            </w:tcMar>
            <w:vAlign w:val="center"/>
          </w:tcPr>
          <w:p>
            <w:pPr>
              <w:widowControl/>
              <w:jc w:val="left"/>
            </w:pPr>
            <w:r>
              <w:rPr>
                <w:rFonts w:hint="eastAsia" w:ascii="宋体" w:hAnsi="宋体" w:cs="宋体"/>
                <w:kern w:val="0"/>
                <w:sz w:val="20"/>
                <w:szCs w:val="20"/>
                <w:lang w:bidi="ar"/>
              </w:rPr>
              <w:t>（四）无法提供</w:t>
            </w: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widowControl/>
              <w:jc w:val="left"/>
            </w:pPr>
            <w:r>
              <w:rPr>
                <w:rFonts w:hint="eastAsia" w:ascii="宋体" w:hAnsi="宋体" w:cs="宋体"/>
                <w:kern w:val="0"/>
                <w:sz w:val="20"/>
                <w:szCs w:val="20"/>
                <w:lang w:bidi="ar"/>
              </w:rPr>
              <w:t>1.本机关不掌握相关政府信息</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9"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pPr>
              <w:rPr>
                <w:rFonts w:ascii="宋体"/>
                <w:sz w:val="24"/>
                <w:szCs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widowControl/>
              <w:jc w:val="left"/>
            </w:pPr>
            <w:r>
              <w:rPr>
                <w:rFonts w:hint="eastAsia" w:ascii="宋体" w:hAnsi="宋体" w:cs="宋体"/>
                <w:kern w:val="0"/>
                <w:sz w:val="20"/>
                <w:szCs w:val="20"/>
                <w:lang w:bidi="ar"/>
              </w:rPr>
              <w:t>2.没有现成信息需要另行制作</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9"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pPr>
              <w:rPr>
                <w:rFonts w:ascii="宋体"/>
                <w:sz w:val="24"/>
                <w:szCs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widowControl/>
              <w:jc w:val="left"/>
            </w:pPr>
            <w:r>
              <w:rPr>
                <w:rFonts w:hint="eastAsia" w:ascii="宋体" w:hAnsi="宋体" w:cs="宋体"/>
                <w:kern w:val="0"/>
                <w:sz w:val="20"/>
                <w:szCs w:val="20"/>
                <w:lang w:bidi="ar"/>
              </w:rPr>
              <w:t>3.补正后申请内容仍不明确</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9"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restart"/>
            <w:tcBorders>
              <w:top w:val="nil"/>
              <w:left w:val="nil"/>
              <w:bottom w:val="outset" w:color="auto" w:sz="8" w:space="0"/>
              <w:right w:val="single" w:color="auto" w:sz="8" w:space="0"/>
            </w:tcBorders>
            <w:shd w:val="clear" w:color="auto" w:fill="DDEBF7"/>
            <w:tcMar>
              <w:left w:w="57" w:type="dxa"/>
              <w:right w:w="57" w:type="dxa"/>
            </w:tcMar>
            <w:vAlign w:val="center"/>
          </w:tcPr>
          <w:p>
            <w:pPr>
              <w:widowControl/>
              <w:jc w:val="left"/>
            </w:pPr>
            <w:r>
              <w:rPr>
                <w:rFonts w:hint="eastAsia" w:ascii="宋体" w:hAnsi="宋体" w:cs="宋体"/>
                <w:kern w:val="0"/>
                <w:sz w:val="20"/>
                <w:szCs w:val="20"/>
                <w:lang w:bidi="ar"/>
              </w:rPr>
              <w:t>（五）不予处理</w:t>
            </w: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widowControl/>
              <w:jc w:val="left"/>
            </w:pPr>
            <w:r>
              <w:rPr>
                <w:rFonts w:hint="eastAsia" w:ascii="宋体" w:hAnsi="宋体" w:cs="宋体"/>
                <w:kern w:val="0"/>
                <w:sz w:val="20"/>
                <w:szCs w:val="20"/>
                <w:lang w:bidi="ar"/>
              </w:rPr>
              <w:t>1.信访举报投诉类申请</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9"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pPr>
              <w:rPr>
                <w:rFonts w:ascii="宋体"/>
                <w:sz w:val="24"/>
                <w:szCs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widowControl/>
              <w:jc w:val="left"/>
            </w:pPr>
            <w:r>
              <w:rPr>
                <w:rFonts w:hint="eastAsia" w:ascii="宋体" w:hAnsi="宋体" w:cs="宋体"/>
                <w:kern w:val="0"/>
                <w:sz w:val="20"/>
                <w:szCs w:val="20"/>
                <w:lang w:bidi="ar"/>
              </w:rPr>
              <w:t>2.重复申请</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9"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pPr>
              <w:rPr>
                <w:rFonts w:ascii="宋体"/>
                <w:sz w:val="24"/>
                <w:szCs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widowControl/>
              <w:jc w:val="left"/>
            </w:pPr>
            <w:r>
              <w:rPr>
                <w:rFonts w:hint="eastAsia" w:ascii="宋体" w:hAnsi="宋体" w:cs="宋体"/>
                <w:kern w:val="0"/>
                <w:sz w:val="20"/>
                <w:szCs w:val="20"/>
                <w:lang w:bidi="ar"/>
              </w:rPr>
              <w:t>3.要求提供公开出版物</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9"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pPr>
              <w:rPr>
                <w:rFonts w:ascii="宋体"/>
                <w:sz w:val="24"/>
                <w:szCs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widowControl/>
              <w:jc w:val="left"/>
            </w:pPr>
            <w:r>
              <w:rPr>
                <w:rFonts w:hint="eastAsia" w:ascii="宋体" w:hAnsi="宋体" w:cs="宋体"/>
                <w:kern w:val="0"/>
                <w:sz w:val="20"/>
                <w:szCs w:val="20"/>
                <w:lang w:bidi="ar"/>
              </w:rPr>
              <w:t>4.无正当理由大量反复申请</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9"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79" w:hRule="atLeast"/>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pPr>
              <w:rPr>
                <w:rFonts w:ascii="宋体"/>
                <w:sz w:val="24"/>
                <w:szCs w:val="24"/>
              </w:rPr>
            </w:pPr>
          </w:p>
        </w:tc>
        <w:tc>
          <w:tcPr>
            <w:tcW w:w="3220" w:type="dxa"/>
            <w:tcBorders>
              <w:top w:val="nil"/>
              <w:left w:val="nil"/>
              <w:bottom w:val="outset" w:color="auto" w:sz="8" w:space="0"/>
              <w:right w:val="single" w:color="auto" w:sz="8" w:space="0"/>
            </w:tcBorders>
            <w:shd w:val="clear" w:color="auto" w:fill="DDEBF7"/>
            <w:tcMar>
              <w:left w:w="57" w:type="dxa"/>
              <w:right w:w="57" w:type="dxa"/>
            </w:tcMar>
            <w:vAlign w:val="center"/>
          </w:tcPr>
          <w:p>
            <w:pPr>
              <w:widowControl/>
            </w:pPr>
            <w:r>
              <w:rPr>
                <w:rFonts w:hint="eastAsia" w:ascii="宋体" w:hAnsi="宋体" w:cs="宋体"/>
                <w:kern w:val="0"/>
                <w:sz w:val="20"/>
                <w:szCs w:val="20"/>
                <w:lang w:bidi="ar"/>
              </w:rPr>
              <w:t>5.要求行政机关确认或重新出具已获取信息</w:t>
            </w:r>
          </w:p>
        </w:tc>
        <w:tc>
          <w:tcPr>
            <w:tcW w:w="688" w:type="dxa"/>
            <w:tcBorders>
              <w:top w:val="nil"/>
              <w:left w:val="nil"/>
              <w:bottom w:val="outset"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outset"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outset"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outset"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outset"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outset"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9" w:type="dxa"/>
            <w:tcBorders>
              <w:top w:val="nil"/>
              <w:left w:val="nil"/>
              <w:bottom w:val="outset"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restart"/>
            <w:tcBorders>
              <w:top w:val="outset" w:color="auto" w:sz="8" w:space="0"/>
              <w:left w:val="nil"/>
              <w:bottom w:val="outset" w:color="auto" w:sz="8" w:space="0"/>
              <w:right w:val="single" w:color="auto" w:sz="8" w:space="0"/>
            </w:tcBorders>
            <w:shd w:val="clear" w:color="auto" w:fill="DDEBF7"/>
            <w:tcMar>
              <w:left w:w="57" w:type="dxa"/>
              <w:right w:w="57" w:type="dxa"/>
            </w:tcMar>
            <w:vAlign w:val="center"/>
          </w:tcPr>
          <w:p>
            <w:pPr>
              <w:widowControl/>
              <w:jc w:val="left"/>
            </w:pPr>
            <w:r>
              <w:rPr>
                <w:rFonts w:hint="eastAsia" w:ascii="宋体" w:hAnsi="宋体" w:cs="宋体"/>
                <w:kern w:val="0"/>
                <w:sz w:val="20"/>
                <w:szCs w:val="20"/>
                <w:lang w:bidi="ar"/>
              </w:rPr>
              <w:t>（六）其他处理</w:t>
            </w:r>
          </w:p>
        </w:tc>
        <w:tc>
          <w:tcPr>
            <w:tcW w:w="3220" w:type="dxa"/>
            <w:tcBorders>
              <w:top w:val="nil"/>
              <w:left w:val="nil"/>
              <w:bottom w:val="single" w:color="auto" w:sz="8" w:space="0"/>
              <w:right w:val="single" w:color="auto" w:sz="8" w:space="0"/>
            </w:tcBorders>
            <w:shd w:val="clear" w:color="auto" w:fill="DDEBF7"/>
            <w:tcMar>
              <w:left w:w="57" w:type="dxa"/>
              <w:right w:w="57" w:type="dxa"/>
            </w:tcMar>
            <w:vAlign w:val="center"/>
          </w:tcPr>
          <w:p>
            <w:pPr>
              <w:widowControl/>
            </w:pPr>
            <w:r>
              <w:rPr>
                <w:rFonts w:hint="eastAsia" w:ascii="宋体" w:hAnsi="宋体" w:cs="宋体"/>
                <w:kern w:val="0"/>
                <w:sz w:val="20"/>
                <w:szCs w:val="20"/>
                <w:lang w:bidi="ar"/>
              </w:rPr>
              <w:t>1.申请人无正当理由逾期不补正、行政机关不再处理其政府信息公开申请</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9"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continue"/>
            <w:tcBorders>
              <w:top w:val="outset" w:color="auto" w:sz="8" w:space="0"/>
              <w:left w:val="nil"/>
              <w:bottom w:val="outset" w:color="auto" w:sz="8" w:space="0"/>
              <w:right w:val="single" w:color="auto" w:sz="8" w:space="0"/>
            </w:tcBorders>
            <w:shd w:val="clear" w:color="auto" w:fill="DDEBF7"/>
            <w:tcMar>
              <w:left w:w="57" w:type="dxa"/>
              <w:right w:w="57" w:type="dxa"/>
            </w:tcMar>
            <w:vAlign w:val="center"/>
          </w:tcPr>
          <w:p>
            <w:pPr>
              <w:rPr>
                <w:rFonts w:ascii="宋体"/>
                <w:sz w:val="24"/>
                <w:szCs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vAlign w:val="center"/>
          </w:tcPr>
          <w:p>
            <w:pPr>
              <w:widowControl/>
            </w:pPr>
            <w:r>
              <w:rPr>
                <w:rFonts w:hint="eastAsia" w:ascii="宋体" w:hAnsi="宋体" w:cs="宋体"/>
                <w:kern w:val="0"/>
                <w:sz w:val="20"/>
                <w:szCs w:val="20"/>
                <w:lang w:bidi="ar"/>
              </w:rPr>
              <w:t>2.申请人逾期未按收费通知要求缴纳费用、行政机关不再处理其政府信息公开申请</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9"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continue"/>
            <w:tcBorders>
              <w:top w:val="outset" w:color="auto" w:sz="8" w:space="0"/>
              <w:left w:val="nil"/>
              <w:bottom w:val="outset" w:color="auto" w:sz="8" w:space="0"/>
              <w:right w:val="single" w:color="auto" w:sz="8" w:space="0"/>
            </w:tcBorders>
            <w:shd w:val="clear" w:color="auto" w:fill="DDEBF7"/>
            <w:tcMar>
              <w:left w:w="57" w:type="dxa"/>
              <w:right w:w="57" w:type="dxa"/>
            </w:tcMar>
            <w:vAlign w:val="center"/>
          </w:tcPr>
          <w:p>
            <w:pPr>
              <w:rPr>
                <w:rFonts w:ascii="宋体"/>
                <w:sz w:val="24"/>
                <w:szCs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vAlign w:val="center"/>
          </w:tcPr>
          <w:p>
            <w:pPr>
              <w:widowControl/>
              <w:jc w:val="left"/>
            </w:pPr>
            <w:r>
              <w:rPr>
                <w:rFonts w:hint="eastAsia" w:ascii="宋体" w:hAnsi="宋体" w:cs="宋体"/>
                <w:kern w:val="0"/>
                <w:sz w:val="20"/>
                <w:szCs w:val="20"/>
                <w:lang w:bidi="ar"/>
              </w:rPr>
              <w:t>3.其他</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9"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4163" w:type="dxa"/>
            <w:gridSpan w:val="2"/>
            <w:tcBorders>
              <w:top w:val="nil"/>
              <w:left w:val="nil"/>
              <w:bottom w:val="single" w:color="auto" w:sz="8" w:space="0"/>
              <w:right w:val="single" w:color="auto" w:sz="8" w:space="0"/>
            </w:tcBorders>
            <w:shd w:val="clear" w:color="auto" w:fill="DDEBF7"/>
            <w:tcMar>
              <w:left w:w="57" w:type="dxa"/>
              <w:right w:w="57" w:type="dxa"/>
            </w:tcMar>
            <w:vAlign w:val="center"/>
          </w:tcPr>
          <w:p>
            <w:pPr>
              <w:widowControl/>
              <w:jc w:val="left"/>
            </w:pPr>
            <w:r>
              <w:rPr>
                <w:rFonts w:hint="eastAsia" w:ascii="宋体" w:hAnsi="宋体" w:cs="宋体"/>
                <w:kern w:val="0"/>
                <w:sz w:val="20"/>
                <w:szCs w:val="20"/>
                <w:lang w:bidi="ar"/>
              </w:rPr>
              <w:t>（七）总计</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c>
          <w:tcPr>
            <w:tcW w:w="689" w:type="dxa"/>
            <w:tcBorders>
              <w:top w:val="nil"/>
              <w:left w:val="nil"/>
              <w:bottom w:val="single" w:color="auto" w:sz="8" w:space="0"/>
              <w:right w:val="single" w:color="auto" w:sz="8" w:space="0"/>
            </w:tcBorders>
            <w:tcMar>
              <w:left w:w="57" w:type="dxa"/>
              <w:right w:w="57" w:type="dxa"/>
            </w:tcMar>
            <w:vAlign w:val="center"/>
          </w:tcPr>
          <w:p>
            <w:pPr>
              <w:widowControl/>
              <w:jc w:val="center"/>
              <w:rPr>
                <w:szCs w:val="21"/>
              </w:rPr>
            </w:pPr>
            <w:r>
              <w:rPr>
                <w:rFonts w:hint="eastAsia" w:ascii="Calibri" w:hAnsi="Calibri" w:cs="Calibri"/>
                <w:kern w:val="0"/>
                <w:szCs w:val="21"/>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pPr>
              <w:widowControl/>
              <w:jc w:val="left"/>
            </w:pPr>
            <w:r>
              <w:rPr>
                <w:rFonts w:hint="eastAsia" w:ascii="宋体" w:hAnsi="宋体" w:cs="宋体"/>
                <w:kern w:val="0"/>
                <w:sz w:val="20"/>
                <w:szCs w:val="20"/>
                <w:lang w:bidi="ar"/>
              </w:rPr>
              <w:t>四、结转下年度继续办理</w:t>
            </w:r>
          </w:p>
        </w:tc>
        <w:tc>
          <w:tcPr>
            <w:tcW w:w="0" w:type="auto"/>
            <w:tcBorders>
              <w:top w:val="outset" w:color="auto" w:sz="6" w:space="0"/>
              <w:left w:val="nil"/>
              <w:bottom w:val="outset" w:color="auto" w:sz="6" w:space="0"/>
              <w:right w:val="outset" w:color="auto" w:sz="6" w:space="0"/>
            </w:tcBorders>
            <w:vAlign w:val="center"/>
          </w:tcPr>
          <w:p>
            <w:pPr>
              <w:widowControl/>
              <w:jc w:val="center"/>
              <w:rPr>
                <w:szCs w:val="21"/>
              </w:rPr>
            </w:pPr>
            <w:r>
              <w:rPr>
                <w:rFonts w:hint="eastAsia" w:ascii="Calibri" w:hAnsi="Calibri" w:cs="Calibri"/>
                <w:kern w:val="0"/>
                <w:szCs w:val="21"/>
                <w:lang w:bidi="ar"/>
              </w:rPr>
              <w:t>0</w:t>
            </w:r>
          </w:p>
        </w:tc>
        <w:tc>
          <w:tcPr>
            <w:tcW w:w="0" w:type="auto"/>
            <w:tcBorders>
              <w:top w:val="outset" w:color="auto" w:sz="6" w:space="0"/>
              <w:left w:val="nil"/>
              <w:bottom w:val="outset" w:color="auto" w:sz="6" w:space="0"/>
              <w:right w:val="outset" w:color="auto" w:sz="6" w:space="0"/>
            </w:tcBorders>
            <w:vAlign w:val="center"/>
          </w:tcPr>
          <w:p>
            <w:pPr>
              <w:widowControl/>
              <w:jc w:val="center"/>
              <w:rPr>
                <w:szCs w:val="21"/>
              </w:rPr>
            </w:pPr>
            <w:r>
              <w:rPr>
                <w:rFonts w:hint="eastAsia" w:ascii="Calibri" w:hAnsi="Calibri" w:cs="Calibri"/>
                <w:kern w:val="0"/>
                <w:szCs w:val="21"/>
                <w:lang w:bidi="ar"/>
              </w:rPr>
              <w:t>0</w:t>
            </w:r>
          </w:p>
        </w:tc>
        <w:tc>
          <w:tcPr>
            <w:tcW w:w="0" w:type="auto"/>
            <w:tcBorders>
              <w:top w:val="outset" w:color="auto" w:sz="6" w:space="0"/>
              <w:left w:val="nil"/>
              <w:bottom w:val="outset" w:color="auto" w:sz="6" w:space="0"/>
              <w:right w:val="outset" w:color="auto" w:sz="6" w:space="0"/>
            </w:tcBorders>
            <w:vAlign w:val="center"/>
          </w:tcPr>
          <w:p>
            <w:pPr>
              <w:widowControl/>
              <w:jc w:val="center"/>
              <w:rPr>
                <w:szCs w:val="21"/>
              </w:rPr>
            </w:pPr>
            <w:r>
              <w:rPr>
                <w:rFonts w:hint="eastAsia" w:ascii="Calibri" w:hAnsi="Calibri" w:cs="Calibri"/>
                <w:kern w:val="0"/>
                <w:szCs w:val="21"/>
                <w:lang w:bidi="ar"/>
              </w:rPr>
              <w:t>0</w:t>
            </w:r>
          </w:p>
        </w:tc>
        <w:tc>
          <w:tcPr>
            <w:tcW w:w="0" w:type="auto"/>
            <w:tcBorders>
              <w:top w:val="outset" w:color="auto" w:sz="6" w:space="0"/>
              <w:left w:val="nil"/>
              <w:bottom w:val="outset" w:color="auto" w:sz="6" w:space="0"/>
              <w:right w:val="outset" w:color="auto" w:sz="6" w:space="0"/>
            </w:tcBorders>
            <w:vAlign w:val="center"/>
          </w:tcPr>
          <w:p>
            <w:pPr>
              <w:widowControl/>
              <w:jc w:val="center"/>
              <w:rPr>
                <w:szCs w:val="21"/>
              </w:rPr>
            </w:pPr>
            <w:r>
              <w:rPr>
                <w:rFonts w:hint="eastAsia" w:ascii="Calibri" w:hAnsi="Calibri" w:cs="Calibri"/>
                <w:kern w:val="0"/>
                <w:szCs w:val="21"/>
                <w:lang w:bidi="ar"/>
              </w:rPr>
              <w:t>0</w:t>
            </w:r>
          </w:p>
        </w:tc>
        <w:tc>
          <w:tcPr>
            <w:tcW w:w="0" w:type="auto"/>
            <w:tcBorders>
              <w:top w:val="outset" w:color="auto" w:sz="6" w:space="0"/>
              <w:left w:val="nil"/>
              <w:bottom w:val="outset" w:color="auto" w:sz="6" w:space="0"/>
              <w:right w:val="outset" w:color="auto" w:sz="6" w:space="0"/>
            </w:tcBorders>
            <w:vAlign w:val="center"/>
          </w:tcPr>
          <w:p>
            <w:pPr>
              <w:widowControl/>
              <w:jc w:val="center"/>
              <w:rPr>
                <w:szCs w:val="21"/>
              </w:rPr>
            </w:pPr>
            <w:r>
              <w:rPr>
                <w:rFonts w:hint="eastAsia" w:ascii="Calibri" w:hAnsi="Calibri" w:cs="Calibri"/>
                <w:kern w:val="0"/>
                <w:szCs w:val="21"/>
                <w:lang w:bidi="ar"/>
              </w:rPr>
              <w:t>0</w:t>
            </w:r>
          </w:p>
        </w:tc>
        <w:tc>
          <w:tcPr>
            <w:tcW w:w="0" w:type="auto"/>
            <w:tcBorders>
              <w:top w:val="outset" w:color="auto" w:sz="6" w:space="0"/>
              <w:left w:val="nil"/>
              <w:bottom w:val="outset" w:color="auto" w:sz="6" w:space="0"/>
              <w:right w:val="outset" w:color="auto" w:sz="6" w:space="0"/>
            </w:tcBorders>
            <w:vAlign w:val="center"/>
          </w:tcPr>
          <w:p>
            <w:pPr>
              <w:widowControl/>
              <w:jc w:val="center"/>
              <w:rPr>
                <w:szCs w:val="21"/>
              </w:rPr>
            </w:pPr>
            <w:r>
              <w:rPr>
                <w:rFonts w:hint="eastAsia" w:ascii="Calibri" w:hAnsi="Calibri" w:cs="Calibri"/>
                <w:kern w:val="0"/>
                <w:szCs w:val="21"/>
                <w:lang w:bidi="ar"/>
              </w:rPr>
              <w:t>0</w:t>
            </w:r>
          </w:p>
        </w:tc>
        <w:tc>
          <w:tcPr>
            <w:tcW w:w="0" w:type="auto"/>
            <w:tcBorders>
              <w:top w:val="outset" w:color="auto" w:sz="6" w:space="0"/>
              <w:left w:val="nil"/>
              <w:bottom w:val="outset" w:color="auto" w:sz="6" w:space="0"/>
              <w:right w:val="outset" w:color="auto" w:sz="6" w:space="0"/>
            </w:tcBorders>
            <w:vAlign w:val="center"/>
          </w:tcPr>
          <w:p>
            <w:pPr>
              <w:widowControl/>
              <w:jc w:val="center"/>
              <w:rPr>
                <w:szCs w:val="21"/>
              </w:rPr>
            </w:pPr>
            <w:r>
              <w:rPr>
                <w:rFonts w:hint="eastAsia" w:ascii="Calibri" w:hAnsi="Calibri" w:cs="Calibri"/>
                <w:kern w:val="0"/>
                <w:szCs w:val="21"/>
                <w:lang w:bidi="ar"/>
              </w:rPr>
              <w:t>0</w:t>
            </w:r>
          </w:p>
        </w:tc>
      </w:tr>
    </w:tbl>
    <w:p>
      <w:pPr>
        <w:pStyle w:val="2"/>
        <w:ind w:left="420" w:leftChars="200"/>
      </w:pPr>
    </w:p>
    <w:p>
      <w:pPr>
        <w:pStyle w:val="2"/>
        <w:ind w:left="420" w:leftChars="200"/>
      </w:pPr>
    </w:p>
    <w:p>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四、政府信息公开行政复议、行政诉讼情况</w:t>
      </w:r>
    </w:p>
    <w:p>
      <w:pPr>
        <w:widowControl/>
        <w:jc w:val="center"/>
      </w:pPr>
    </w:p>
    <w:tbl>
      <w:tblPr>
        <w:tblStyle w:val="6"/>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3245" w:type="dxa"/>
            <w:gridSpan w:val="5"/>
            <w:tcBorders>
              <w:top w:val="single" w:color="auto" w:sz="8" w:space="0"/>
              <w:left w:val="single" w:color="auto" w:sz="8" w:space="0"/>
              <w:bottom w:val="single" w:color="auto" w:sz="8" w:space="0"/>
              <w:right w:val="single" w:color="auto" w:sz="8" w:space="0"/>
            </w:tcBorders>
            <w:shd w:val="clear" w:color="auto" w:fill="BDD7EE"/>
            <w:tcMar>
              <w:left w:w="108" w:type="dxa"/>
              <w:right w:w="108" w:type="dxa"/>
            </w:tcMar>
            <w:vAlign w:val="center"/>
          </w:tcPr>
          <w:p>
            <w:pPr>
              <w:widowControl/>
              <w:jc w:val="center"/>
            </w:pPr>
            <w:r>
              <w:rPr>
                <w:rFonts w:hint="eastAsia" w:ascii="宋体" w:hAnsi="宋体" w:cs="宋体"/>
                <w:kern w:val="0"/>
                <w:sz w:val="20"/>
                <w:szCs w:val="20"/>
                <w:lang w:bidi="ar"/>
              </w:rPr>
              <w:t>行政复议</w:t>
            </w:r>
          </w:p>
        </w:tc>
        <w:tc>
          <w:tcPr>
            <w:tcW w:w="6503" w:type="dxa"/>
            <w:gridSpan w:val="10"/>
            <w:tcBorders>
              <w:top w:val="single" w:color="auto" w:sz="8" w:space="0"/>
              <w:left w:val="single" w:color="auto" w:sz="8" w:space="0"/>
              <w:bottom w:val="single" w:color="auto" w:sz="8" w:space="0"/>
              <w:right w:val="single" w:color="auto" w:sz="8" w:space="0"/>
            </w:tcBorders>
            <w:shd w:val="clear" w:color="auto" w:fill="BDD7EE"/>
            <w:tcMar>
              <w:left w:w="108" w:type="dxa"/>
              <w:right w:w="108" w:type="dxa"/>
            </w:tcMar>
            <w:vAlign w:val="center"/>
          </w:tcPr>
          <w:p>
            <w:pPr>
              <w:widowControl/>
              <w:jc w:val="center"/>
            </w:pPr>
            <w:r>
              <w:rPr>
                <w:rFonts w:hint="eastAsia" w:ascii="宋体" w:hAnsi="宋体" w:cs="宋体"/>
                <w:kern w:val="0"/>
                <w:sz w:val="20"/>
                <w:szCs w:val="20"/>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82" w:hRule="atLeast"/>
          <w:jc w:val="center"/>
        </w:trPr>
        <w:tc>
          <w:tcPr>
            <w:tcW w:w="649"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pPr>
            <w:r>
              <w:rPr>
                <w:rFonts w:hint="eastAsia" w:ascii="宋体" w:hAnsi="宋体" w:cs="宋体"/>
                <w:kern w:val="0"/>
                <w:sz w:val="20"/>
                <w:szCs w:val="20"/>
                <w:lang w:bidi="ar"/>
              </w:rPr>
              <w:t>结果维持</w:t>
            </w:r>
          </w:p>
        </w:tc>
        <w:tc>
          <w:tcPr>
            <w:tcW w:w="649"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纠正</w:t>
            </w:r>
          </w:p>
        </w:tc>
        <w:tc>
          <w:tcPr>
            <w:tcW w:w="649"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pPr>
            <w:r>
              <w:rPr>
                <w:rFonts w:hint="eastAsia" w:ascii="宋体" w:hAnsi="宋体" w:cs="宋体"/>
                <w:kern w:val="0"/>
                <w:sz w:val="20"/>
                <w:szCs w:val="20"/>
                <w:lang w:bidi="ar"/>
              </w:rPr>
              <w:t>其他</w:t>
            </w:r>
            <w:r>
              <w:rPr>
                <w:rFonts w:hint="eastAsia" w:ascii="宋体" w:hAnsi="宋体" w:cs="宋体"/>
                <w:kern w:val="0"/>
                <w:sz w:val="20"/>
                <w:szCs w:val="20"/>
                <w:lang w:bidi="ar"/>
              </w:rPr>
              <w:br w:type="textWrapping"/>
            </w:r>
            <w:r>
              <w:rPr>
                <w:rFonts w:hint="eastAsia" w:ascii="宋体" w:hAnsi="宋体" w:cs="宋体"/>
                <w:kern w:val="0"/>
                <w:sz w:val="20"/>
                <w:szCs w:val="20"/>
                <w:lang w:bidi="ar"/>
              </w:rPr>
              <w:t>结果</w:t>
            </w:r>
          </w:p>
        </w:tc>
        <w:tc>
          <w:tcPr>
            <w:tcW w:w="649"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pPr>
            <w:r>
              <w:rPr>
                <w:rFonts w:hint="eastAsia" w:ascii="宋体" w:hAnsi="宋体" w:cs="宋体"/>
                <w:kern w:val="0"/>
                <w:sz w:val="20"/>
                <w:szCs w:val="20"/>
                <w:lang w:bidi="ar"/>
              </w:rPr>
              <w:t>尚未</w:t>
            </w:r>
            <w:r>
              <w:rPr>
                <w:rFonts w:hint="eastAsia" w:ascii="宋体" w:hAnsi="宋体" w:cs="宋体"/>
                <w:kern w:val="0"/>
                <w:sz w:val="20"/>
                <w:szCs w:val="20"/>
                <w:lang w:bidi="ar"/>
              </w:rPr>
              <w:br w:type="textWrapping"/>
            </w:r>
            <w:r>
              <w:rPr>
                <w:rFonts w:hint="eastAsia" w:ascii="宋体" w:hAnsi="宋体" w:cs="宋体"/>
                <w:kern w:val="0"/>
                <w:sz w:val="20"/>
                <w:szCs w:val="20"/>
                <w:lang w:bidi="ar"/>
              </w:rPr>
              <w:t>审结</w:t>
            </w:r>
          </w:p>
        </w:tc>
        <w:tc>
          <w:tcPr>
            <w:tcW w:w="649"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pPr>
            <w:r>
              <w:rPr>
                <w:rFonts w:hint="eastAsia" w:ascii="宋体" w:hAnsi="宋体" w:cs="宋体"/>
                <w:kern w:val="0"/>
                <w:sz w:val="20"/>
                <w:szCs w:val="20"/>
                <w:lang w:bidi="ar"/>
              </w:rPr>
              <w:t>总计</w:t>
            </w:r>
          </w:p>
        </w:tc>
        <w:tc>
          <w:tcPr>
            <w:tcW w:w="3248" w:type="dxa"/>
            <w:gridSpan w:val="5"/>
            <w:tcBorders>
              <w:top w:val="single" w:color="auto" w:sz="8" w:space="0"/>
              <w:left w:val="single" w:color="auto" w:sz="8" w:space="0"/>
              <w:bottom w:val="single" w:color="auto" w:sz="8" w:space="0"/>
              <w:right w:val="single" w:color="auto" w:sz="8" w:space="0"/>
            </w:tcBorders>
            <w:shd w:val="clear" w:color="auto" w:fill="DDEBF7"/>
            <w:tcMar>
              <w:left w:w="108" w:type="dxa"/>
              <w:right w:w="108" w:type="dxa"/>
            </w:tcMar>
            <w:vAlign w:val="center"/>
          </w:tcPr>
          <w:p>
            <w:pPr>
              <w:widowControl/>
              <w:jc w:val="center"/>
            </w:pPr>
            <w:r>
              <w:rPr>
                <w:rFonts w:hint="eastAsia" w:ascii="宋体" w:hAnsi="宋体" w:cs="宋体"/>
                <w:kern w:val="0"/>
                <w:sz w:val="20"/>
                <w:szCs w:val="20"/>
                <w:lang w:bidi="ar"/>
              </w:rPr>
              <w:t>未经复议直接起诉</w:t>
            </w:r>
          </w:p>
        </w:tc>
        <w:tc>
          <w:tcPr>
            <w:tcW w:w="3255" w:type="dxa"/>
            <w:gridSpan w:val="5"/>
            <w:tcBorders>
              <w:top w:val="single" w:color="auto" w:sz="8" w:space="0"/>
              <w:left w:val="single" w:color="auto" w:sz="8" w:space="0"/>
              <w:bottom w:val="single" w:color="auto" w:sz="8" w:space="0"/>
              <w:right w:val="single" w:color="auto" w:sz="8" w:space="0"/>
            </w:tcBorders>
            <w:shd w:val="clear" w:color="auto" w:fill="DDEBF7"/>
            <w:tcMar>
              <w:left w:w="108" w:type="dxa"/>
              <w:right w:w="108" w:type="dxa"/>
            </w:tcMar>
            <w:vAlign w:val="center"/>
          </w:tcPr>
          <w:p>
            <w:pPr>
              <w:widowControl/>
              <w:jc w:val="center"/>
            </w:pPr>
            <w:r>
              <w:rPr>
                <w:rFonts w:hint="eastAsia" w:ascii="宋体" w:hAnsi="宋体" w:cs="宋体"/>
                <w:kern w:val="0"/>
                <w:sz w:val="20"/>
                <w:szCs w:val="20"/>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14" w:hRule="atLeast"/>
          <w:jc w:val="center"/>
        </w:trPr>
        <w:tc>
          <w:tcPr>
            <w:tcW w:w="649"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rPr>
                <w:rFonts w:ascii="宋体"/>
                <w:sz w:val="24"/>
                <w:szCs w:val="24"/>
              </w:rPr>
            </w:pPr>
          </w:p>
        </w:tc>
        <w:tc>
          <w:tcPr>
            <w:tcW w:w="649"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rPr>
                <w:rFonts w:ascii="宋体"/>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rPr>
                <w:rFonts w:ascii="宋体"/>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rPr>
                <w:rFonts w:ascii="宋体"/>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rPr>
                <w:rFonts w:ascii="宋体"/>
                <w:sz w:val="24"/>
                <w:szCs w:val="24"/>
              </w:rPr>
            </w:pP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维持</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jc w:val="center"/>
            </w:pPr>
            <w:r>
              <w:rPr>
                <w:rFonts w:hint="eastAsia" w:ascii="宋体" w:hAnsi="宋体" w:cs="宋体"/>
                <w:kern w:val="0"/>
                <w:sz w:val="20"/>
                <w:szCs w:val="20"/>
                <w:lang w:bidi="ar"/>
              </w:rPr>
              <w:t>其他</w:t>
            </w:r>
            <w:r>
              <w:rPr>
                <w:rFonts w:hint="eastAsia" w:ascii="宋体" w:hAnsi="宋体" w:cs="宋体"/>
                <w:kern w:val="0"/>
                <w:sz w:val="20"/>
                <w:szCs w:val="20"/>
                <w:lang w:bidi="ar"/>
              </w:rPr>
              <w:br w:type="textWrapping"/>
            </w:r>
            <w:r>
              <w:rPr>
                <w:rFonts w:hint="eastAsia" w:ascii="宋体" w:hAnsi="宋体" w:cs="宋体"/>
                <w:kern w:val="0"/>
                <w:sz w:val="20"/>
                <w:szCs w:val="20"/>
                <w:lang w:bidi="ar"/>
              </w:rPr>
              <w:t>结果</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jc w:val="center"/>
            </w:pPr>
            <w:r>
              <w:rPr>
                <w:rFonts w:hint="eastAsia" w:ascii="宋体" w:hAnsi="宋体" w:cs="宋体"/>
                <w:kern w:val="0"/>
                <w:sz w:val="20"/>
                <w:szCs w:val="20"/>
                <w:lang w:bidi="ar"/>
              </w:rPr>
              <w:t>尚未</w:t>
            </w:r>
            <w:r>
              <w:rPr>
                <w:rFonts w:hint="eastAsia" w:ascii="宋体" w:hAnsi="宋体" w:cs="宋体"/>
                <w:kern w:val="0"/>
                <w:sz w:val="20"/>
                <w:szCs w:val="20"/>
                <w:lang w:bidi="ar"/>
              </w:rPr>
              <w:br w:type="textWrapping"/>
            </w:r>
            <w:r>
              <w:rPr>
                <w:rFonts w:hint="eastAsia" w:ascii="宋体" w:hAnsi="宋体" w:cs="宋体"/>
                <w:kern w:val="0"/>
                <w:sz w:val="20"/>
                <w:szCs w:val="20"/>
                <w:lang w:bidi="ar"/>
              </w:rPr>
              <w:t>审结</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jc w:val="center"/>
            </w:pPr>
            <w:r>
              <w:rPr>
                <w:rFonts w:hint="eastAsia" w:ascii="宋体" w:hAnsi="宋体" w:cs="宋体"/>
                <w:color w:val="000000"/>
                <w:kern w:val="0"/>
                <w:sz w:val="20"/>
                <w:szCs w:val="20"/>
                <w:lang w:bidi="ar"/>
              </w:rPr>
              <w:t>总计</w:t>
            </w:r>
          </w:p>
        </w:tc>
        <w:tc>
          <w:tcPr>
            <w:tcW w:w="651"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维持</w:t>
            </w:r>
          </w:p>
        </w:tc>
        <w:tc>
          <w:tcPr>
            <w:tcW w:w="651"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纠正</w:t>
            </w:r>
          </w:p>
        </w:tc>
        <w:tc>
          <w:tcPr>
            <w:tcW w:w="651"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jc w:val="center"/>
            </w:pPr>
            <w:r>
              <w:rPr>
                <w:rFonts w:hint="eastAsia" w:ascii="宋体" w:hAnsi="宋体" w:cs="宋体"/>
                <w:color w:val="000000"/>
                <w:kern w:val="0"/>
                <w:sz w:val="20"/>
                <w:szCs w:val="20"/>
                <w:lang w:bidi="ar"/>
              </w:rPr>
              <w:t>其他</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结果</w:t>
            </w:r>
          </w:p>
        </w:tc>
        <w:tc>
          <w:tcPr>
            <w:tcW w:w="651"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jc w:val="center"/>
            </w:pPr>
            <w:r>
              <w:rPr>
                <w:rFonts w:hint="eastAsia" w:ascii="宋体" w:hAnsi="宋体" w:cs="宋体"/>
                <w:kern w:val="0"/>
                <w:sz w:val="20"/>
                <w:szCs w:val="20"/>
                <w:lang w:bidi="ar"/>
              </w:rPr>
              <w:t>尚未</w:t>
            </w:r>
            <w:r>
              <w:rPr>
                <w:rFonts w:hint="eastAsia" w:ascii="宋体" w:hAnsi="宋体" w:cs="宋体"/>
                <w:kern w:val="0"/>
                <w:sz w:val="20"/>
                <w:szCs w:val="20"/>
                <w:lang w:bidi="ar"/>
              </w:rPr>
              <w:br w:type="textWrapping"/>
            </w:r>
            <w:r>
              <w:rPr>
                <w:rFonts w:hint="eastAsia" w:ascii="宋体" w:hAnsi="宋体" w:cs="宋体"/>
                <w:kern w:val="0"/>
                <w:sz w:val="20"/>
                <w:szCs w:val="20"/>
                <w:lang w:bidi="ar"/>
              </w:rPr>
              <w:t>审结</w:t>
            </w:r>
          </w:p>
        </w:tc>
        <w:tc>
          <w:tcPr>
            <w:tcW w:w="651"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jc w:val="center"/>
            </w:pPr>
            <w:r>
              <w:rPr>
                <w:rFonts w:hint="eastAsia" w:ascii="宋体" w:hAnsi="宋体" w:cs="宋体"/>
                <w:color w:val="000000"/>
                <w:kern w:val="0"/>
                <w:sz w:val="20"/>
                <w:szCs w:val="20"/>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rPr>
                <w:rFonts w:asciiTheme="minorHAnsi" w:hAnsiTheme="minorHAnsi"/>
                <w:szCs w:val="21"/>
              </w:rPr>
            </w:pPr>
            <w:r>
              <w:rPr>
                <w:rFonts w:eastAsia="黑体" w:cs="黑体" w:asciiTheme="minorHAnsi" w:hAnsiTheme="minorHAnsi"/>
                <w:kern w:val="0"/>
                <w:szCs w:val="21"/>
                <w:lang w:bidi="ar"/>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rPr>
                <w:rFonts w:asciiTheme="minorHAnsi" w:hAnsiTheme="minorHAnsi"/>
                <w:szCs w:val="21"/>
              </w:rPr>
            </w:pPr>
            <w:r>
              <w:rPr>
                <w:rFonts w:eastAsia="黑体" w:cs="黑体" w:asciiTheme="minorHAnsi" w:hAnsiTheme="minorHAnsi"/>
                <w:kern w:val="0"/>
                <w:szCs w:val="21"/>
                <w:lang w:bidi="ar"/>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rPr>
                <w:rFonts w:asciiTheme="minorHAnsi" w:hAnsiTheme="minorHAnsi"/>
                <w:szCs w:val="21"/>
              </w:rPr>
            </w:pPr>
            <w:r>
              <w:rPr>
                <w:rFonts w:eastAsia="黑体" w:cs="黑体" w:asciiTheme="minorHAnsi" w:hAnsiTheme="minorHAnsi"/>
                <w:kern w:val="0"/>
                <w:szCs w:val="21"/>
                <w:lang w:bidi="ar"/>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rPr>
                <w:rFonts w:asciiTheme="minorHAnsi" w:hAnsiTheme="minorHAnsi"/>
                <w:szCs w:val="21"/>
              </w:rPr>
            </w:pPr>
            <w:r>
              <w:rPr>
                <w:rFonts w:eastAsia="黑体" w:cs="黑体" w:asciiTheme="minorHAnsi" w:hAnsiTheme="minorHAnsi"/>
                <w:kern w:val="0"/>
                <w:szCs w:val="21"/>
                <w:lang w:bidi="ar"/>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rPr>
                <w:rFonts w:asciiTheme="minorHAnsi" w:hAnsiTheme="minorHAnsi"/>
                <w:szCs w:val="21"/>
              </w:rPr>
            </w:pPr>
            <w:r>
              <w:rPr>
                <w:rFonts w:eastAsia="黑体" w:cs="黑体" w:asciiTheme="minorHAnsi" w:hAnsiTheme="minorHAnsi"/>
                <w:kern w:val="0"/>
                <w:szCs w:val="21"/>
                <w:lang w:bidi="ar"/>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rPr>
                <w:rFonts w:asciiTheme="minorHAnsi" w:hAnsiTheme="minorHAnsi"/>
                <w:szCs w:val="21"/>
              </w:rPr>
            </w:pPr>
            <w:r>
              <w:rPr>
                <w:rFonts w:eastAsia="黑体" w:cs="黑体" w:asciiTheme="minorHAnsi" w:hAnsiTheme="minorHAnsi"/>
                <w:kern w:val="0"/>
                <w:szCs w:val="21"/>
                <w:lang w:bidi="ar"/>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rPr>
                <w:rFonts w:asciiTheme="minorHAnsi" w:hAnsiTheme="minorHAnsi"/>
                <w:szCs w:val="21"/>
              </w:rPr>
            </w:pPr>
            <w:r>
              <w:rPr>
                <w:rFonts w:eastAsia="黑体" w:cs="黑体" w:asciiTheme="minorHAnsi" w:hAnsiTheme="minorHAnsi"/>
                <w:kern w:val="0"/>
                <w:szCs w:val="21"/>
                <w:lang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rPr>
                <w:rFonts w:asciiTheme="minorHAnsi" w:hAnsiTheme="minorHAnsi"/>
                <w:szCs w:val="21"/>
              </w:rPr>
            </w:pPr>
            <w:r>
              <w:rPr>
                <w:rFonts w:eastAsia="黑体" w:cs="黑体" w:asciiTheme="minorHAnsi" w:hAnsiTheme="minorHAnsi"/>
                <w:kern w:val="0"/>
                <w:szCs w:val="21"/>
                <w:lang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rPr>
                <w:rFonts w:asciiTheme="minorHAnsi" w:hAnsiTheme="minorHAnsi"/>
                <w:szCs w:val="21"/>
              </w:rPr>
            </w:pPr>
            <w:r>
              <w:rPr>
                <w:rFonts w:eastAsia="黑体" w:cs="黑体" w:asciiTheme="minorHAnsi" w:hAnsiTheme="minorHAnsi"/>
                <w:kern w:val="0"/>
                <w:szCs w:val="21"/>
                <w:lang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rPr>
                <w:rFonts w:asciiTheme="minorHAnsi" w:hAnsiTheme="minorHAnsi"/>
                <w:szCs w:val="21"/>
              </w:rPr>
            </w:pPr>
            <w:r>
              <w:rPr>
                <w:rFonts w:eastAsia="黑体" w:cs="黑体" w:asciiTheme="minorHAnsi" w:hAnsiTheme="minorHAnsi"/>
                <w:kern w:val="0"/>
                <w:szCs w:val="21"/>
                <w:lang w:bidi="ar"/>
              </w:rPr>
              <w:t>0</w:t>
            </w:r>
          </w:p>
        </w:tc>
        <w:tc>
          <w:tcPr>
            <w:tcW w:w="651"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rPr>
                <w:rFonts w:asciiTheme="minorHAnsi" w:hAnsiTheme="minorHAnsi"/>
                <w:szCs w:val="21"/>
              </w:rPr>
            </w:pPr>
            <w:r>
              <w:rPr>
                <w:rFonts w:eastAsia="黑体" w:cs="黑体" w:asciiTheme="minorHAnsi" w:hAnsiTheme="minorHAnsi"/>
                <w:kern w:val="0"/>
                <w:szCs w:val="21"/>
                <w:lang w:bidi="ar"/>
              </w:rPr>
              <w:t>0</w:t>
            </w:r>
          </w:p>
        </w:tc>
        <w:tc>
          <w:tcPr>
            <w:tcW w:w="651"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rPr>
                <w:rFonts w:asciiTheme="minorHAnsi" w:hAnsiTheme="minorHAnsi"/>
                <w:szCs w:val="21"/>
              </w:rPr>
            </w:pPr>
            <w:r>
              <w:rPr>
                <w:rFonts w:eastAsia="黑体" w:cs="黑体" w:asciiTheme="minorHAnsi" w:hAnsiTheme="minorHAnsi"/>
                <w:kern w:val="0"/>
                <w:szCs w:val="21"/>
                <w:lang w:bidi="ar"/>
              </w:rPr>
              <w:t>0</w:t>
            </w:r>
          </w:p>
        </w:tc>
        <w:tc>
          <w:tcPr>
            <w:tcW w:w="651"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rPr>
                <w:rFonts w:asciiTheme="minorHAnsi" w:hAnsiTheme="minorHAnsi"/>
                <w:szCs w:val="21"/>
              </w:rPr>
            </w:pPr>
            <w:r>
              <w:rPr>
                <w:rFonts w:eastAsia="黑体" w:cs="黑体" w:asciiTheme="minorHAnsi" w:hAnsiTheme="minorHAnsi"/>
                <w:kern w:val="0"/>
                <w:szCs w:val="21"/>
                <w:lang w:bidi="ar"/>
              </w:rPr>
              <w:t>0</w:t>
            </w:r>
          </w:p>
        </w:tc>
        <w:tc>
          <w:tcPr>
            <w:tcW w:w="651"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rPr>
                <w:rFonts w:asciiTheme="minorHAnsi" w:hAnsiTheme="minorHAnsi"/>
                <w:szCs w:val="21"/>
              </w:rPr>
            </w:pPr>
            <w:r>
              <w:rPr>
                <w:rFonts w:eastAsia="黑体" w:cs="黑体" w:asciiTheme="minorHAnsi" w:hAnsiTheme="minorHAnsi"/>
                <w:kern w:val="0"/>
                <w:szCs w:val="21"/>
                <w:lang w:bidi="ar"/>
              </w:rPr>
              <w:t>0</w:t>
            </w:r>
          </w:p>
        </w:tc>
        <w:tc>
          <w:tcPr>
            <w:tcW w:w="651" w:type="dxa"/>
            <w:tcBorders>
              <w:top w:val="nil"/>
              <w:left w:val="single" w:color="auto" w:sz="8" w:space="0"/>
              <w:bottom w:val="single" w:color="auto" w:sz="8" w:space="0"/>
              <w:right w:val="single" w:color="auto" w:sz="8" w:space="0"/>
            </w:tcBorders>
            <w:tcMar>
              <w:left w:w="108" w:type="dxa"/>
              <w:right w:w="108" w:type="dxa"/>
            </w:tcMar>
            <w:vAlign w:val="center"/>
          </w:tcPr>
          <w:p>
            <w:pPr>
              <w:jc w:val="center"/>
              <w:rPr>
                <w:rFonts w:asciiTheme="minorHAnsi" w:hAnsiTheme="minorHAnsi"/>
                <w:szCs w:val="21"/>
              </w:rPr>
            </w:pPr>
            <w:r>
              <w:rPr>
                <w:rFonts w:asciiTheme="minorHAnsi" w:hAnsiTheme="minorHAnsi"/>
                <w:szCs w:val="21"/>
              </w:rPr>
              <w:t>0</w:t>
            </w:r>
          </w:p>
        </w:tc>
      </w:tr>
    </w:tbl>
    <w:p>
      <w:pPr>
        <w:widowControl/>
        <w:jc w:val="left"/>
      </w:pPr>
    </w:p>
    <w:p>
      <w:pPr>
        <w:widowControl/>
        <w:spacing w:line="560" w:lineRule="exact"/>
        <w:ind w:firstLine="672" w:firstLineChars="200"/>
        <w:jc w:val="left"/>
        <w:rPr>
          <w:rFonts w:hint="eastAsia" w:ascii="宋体" w:hAnsi="宋体" w:cs="宋体"/>
          <w:spacing w:val="8"/>
          <w:kern w:val="0"/>
          <w:sz w:val="24"/>
        </w:rPr>
      </w:pPr>
      <w:r>
        <w:rPr>
          <w:rFonts w:ascii="黑体" w:hAnsi="黑体" w:eastAsia="黑体" w:cs="宋体"/>
          <w:spacing w:val="8"/>
          <w:kern w:val="0"/>
          <w:sz w:val="32"/>
          <w:szCs w:val="32"/>
        </w:rPr>
        <w:t>五、存在的主要问题及改进情况</w:t>
      </w:r>
    </w:p>
    <w:p>
      <w:pPr>
        <w:widowControl/>
        <w:spacing w:line="560" w:lineRule="exact"/>
        <w:ind w:firstLine="675"/>
        <w:jc w:val="left"/>
        <w:rPr>
          <w:rFonts w:hint="eastAsia" w:ascii="仿宋_GB2312" w:hAnsi="仿宋_GB2312" w:eastAsia="仿宋_GB2312" w:cs="仿宋_GB2312"/>
          <w:spacing w:val="8"/>
          <w:kern w:val="0"/>
          <w:sz w:val="32"/>
          <w:szCs w:val="32"/>
        </w:rPr>
      </w:pPr>
      <w:r>
        <w:rPr>
          <w:rFonts w:hint="eastAsia" w:ascii="仿宋_GB2312" w:hAnsi="仿宋_GB2312" w:eastAsia="仿宋_GB2312" w:cs="仿宋_GB2312"/>
          <w:spacing w:val="8"/>
          <w:kern w:val="0"/>
          <w:sz w:val="32"/>
          <w:szCs w:val="32"/>
        </w:rPr>
        <w:t>负责政务信息公开的工作人员不足，专业度不够，主动公开意识有待加强，深入群众关心重点内容，提升主动公开质量。</w:t>
      </w:r>
    </w:p>
    <w:p>
      <w:pPr>
        <w:widowControl/>
        <w:spacing w:line="560" w:lineRule="exact"/>
        <w:ind w:firstLine="675"/>
        <w:jc w:val="left"/>
        <w:rPr>
          <w:rFonts w:hint="eastAsia" w:ascii="仿宋_GB2312" w:hAnsi="仿宋_GB2312" w:eastAsia="仿宋_GB2312" w:cs="仿宋_GB2312"/>
          <w:spacing w:val="8"/>
          <w:kern w:val="0"/>
          <w:sz w:val="32"/>
          <w:szCs w:val="32"/>
        </w:rPr>
      </w:pPr>
      <w:r>
        <w:rPr>
          <w:rFonts w:hint="eastAsia" w:ascii="仿宋_GB2312" w:hAnsi="仿宋_GB2312" w:eastAsia="仿宋_GB2312" w:cs="仿宋_GB2312"/>
          <w:spacing w:val="8"/>
          <w:kern w:val="0"/>
          <w:sz w:val="32"/>
          <w:szCs w:val="32"/>
        </w:rPr>
        <w:t>进一步提升气象预报预警、气象防灾减灾工作，</w:t>
      </w:r>
      <w:r>
        <w:rPr>
          <w:rFonts w:hint="eastAsia" w:ascii="仿宋_GB2312" w:hAnsi="宋体" w:eastAsia="仿宋_GB2312" w:cs="宋体"/>
          <w:spacing w:val="8"/>
          <w:kern w:val="0"/>
          <w:sz w:val="32"/>
          <w:szCs w:val="32"/>
        </w:rPr>
        <w:t>依据主动公开全清单内容，应公开，尽公开，加强气象科普知识宣传，提高依法行政水平。</w:t>
      </w:r>
    </w:p>
    <w:p>
      <w:pPr>
        <w:widowControl/>
        <w:spacing w:line="560" w:lineRule="exact"/>
        <w:ind w:firstLine="675"/>
        <w:jc w:val="left"/>
        <w:rPr>
          <w:rFonts w:hint="eastAsia" w:ascii="宋体" w:hAnsi="宋体" w:cs="宋体"/>
          <w:spacing w:val="8"/>
          <w:kern w:val="0"/>
          <w:sz w:val="32"/>
          <w:szCs w:val="32"/>
        </w:rPr>
      </w:pPr>
      <w:r>
        <w:rPr>
          <w:rFonts w:ascii="黑体" w:hAnsi="黑体" w:eastAsia="黑体" w:cs="宋体"/>
          <w:spacing w:val="8"/>
          <w:kern w:val="0"/>
          <w:sz w:val="32"/>
          <w:szCs w:val="32"/>
        </w:rPr>
        <w:t>六、其他需要报告的事项</w:t>
      </w:r>
    </w:p>
    <w:p>
      <w:pPr>
        <w:wordWrap w:val="0"/>
        <w:adjustRightInd w:val="0"/>
        <w:snapToGrid w:val="0"/>
        <w:spacing w:line="360" w:lineRule="auto"/>
        <w:ind w:firstLine="640" w:firstLineChars="200"/>
        <w:rPr>
          <w:rFonts w:ascii="仿宋_GB2312" w:eastAsia="仿宋_GB2312"/>
          <w:sz w:val="32"/>
          <w:szCs w:val="32"/>
        </w:rPr>
      </w:pPr>
      <w:r>
        <w:rPr>
          <w:rFonts w:hint="eastAsia" w:ascii="仿宋_GB2312" w:hAnsi="仿宋_GB2312" w:eastAsia="仿宋_GB2312" w:cs="仿宋_GB2312"/>
          <w:sz w:val="32"/>
          <w:szCs w:val="32"/>
        </w:rPr>
        <w:t>发出收费通知的件数和总金额以及实际收取的总金额均为0。</w:t>
      </w:r>
    </w:p>
    <w:p>
      <w:pPr>
        <w:widowControl/>
        <w:spacing w:line="560" w:lineRule="exact"/>
        <w:jc w:val="left"/>
        <w:rPr>
          <w:rFonts w:hint="eastAsia" w:ascii="仿宋_GB2312" w:hAnsi="宋体" w:eastAsia="仿宋_GB2312" w:cs="宋体"/>
          <w:color w:val="9BC2E6"/>
          <w:spacing w:val="8"/>
          <w:kern w:val="0"/>
          <w:sz w:val="32"/>
          <w:szCs w:val="32"/>
        </w:rPr>
      </w:pPr>
      <w:bookmarkStart w:id="0" w:name="_GoBack"/>
      <w:bookmarkEnd w:id="0"/>
    </w:p>
    <w:p>
      <w:pPr>
        <w:pStyle w:val="2"/>
        <w:spacing w:line="560" w:lineRule="exact"/>
      </w:pPr>
      <w:r>
        <w:rPr>
          <w:rFonts w:hint="eastAsia" w:ascii="微软雅黑" w:hAnsi="微软雅黑" w:eastAsia="微软雅黑" w:cs="宋体"/>
          <w:color w:val="404040"/>
          <w:kern w:val="0"/>
          <w:sz w:val="32"/>
          <w:szCs w:val="32"/>
        </w:rPr>
        <w:t xml:space="preserve"> </w:t>
      </w:r>
    </w:p>
    <w:p>
      <w:pPr>
        <w:pStyle w:val="2"/>
        <w:spacing w:line="560" w:lineRule="exact"/>
      </w:pPr>
    </w:p>
    <w:p>
      <w:pPr>
        <w:pStyle w:val="2"/>
        <w:spacing w:line="560" w:lineRule="exact"/>
      </w:pPr>
    </w:p>
    <w:p>
      <w:pPr>
        <w:spacing w:line="560" w:lineRule="exact"/>
        <w:rPr>
          <w:rFonts w:hint="eastAsia" w:ascii="黑体" w:hAnsi="黑体" w:eastAsia="黑体" w:cs="黑体"/>
          <w:color w:val="000000"/>
          <w:sz w:val="32"/>
          <w:szCs w:val="32"/>
        </w:rPr>
      </w:pPr>
    </w:p>
    <w:p>
      <w:pPr>
        <w:spacing w:line="560" w:lineRule="exact"/>
        <w:rPr>
          <w:rFonts w:hint="eastAsia" w:ascii="黑体" w:hAnsi="黑体" w:eastAsia="黑体" w:cs="黑体"/>
          <w:color w:val="000000"/>
          <w:sz w:val="32"/>
          <w:szCs w:val="32"/>
        </w:rPr>
      </w:pPr>
    </w:p>
    <w:p>
      <w:pPr>
        <w:spacing w:line="560" w:lineRule="exact"/>
        <w:rPr>
          <w:rFonts w:hint="eastAsia" w:ascii="黑体" w:hAnsi="黑体" w:eastAsia="黑体" w:cs="黑体"/>
          <w:color w:val="000000"/>
          <w:sz w:val="32"/>
          <w:szCs w:val="32"/>
        </w:rPr>
      </w:pPr>
    </w:p>
    <w:p>
      <w:pPr>
        <w:pStyle w:val="2"/>
        <w:rPr>
          <w:rFonts w:hint="eastAsia" w:ascii="黑体" w:hAnsi="黑体" w:eastAsia="黑体" w:cs="黑体"/>
          <w:color w:val="000000"/>
          <w:sz w:val="32"/>
          <w:szCs w:val="32"/>
        </w:rPr>
      </w:pPr>
    </w:p>
    <w:p>
      <w:pPr>
        <w:pStyle w:val="2"/>
        <w:rPr>
          <w:rFonts w:hint="eastAsia" w:ascii="黑体" w:hAnsi="黑体" w:eastAsia="黑体" w:cs="黑体"/>
          <w:color w:val="000000"/>
          <w:sz w:val="32"/>
          <w:szCs w:val="32"/>
        </w:rPr>
      </w:pPr>
    </w:p>
    <w:p>
      <w:pPr>
        <w:spacing w:line="560" w:lineRule="exact"/>
        <w:rPr>
          <w:rFonts w:hint="eastAsia" w:ascii="黑体" w:hAnsi="黑体" w:eastAsia="黑体" w:cs="黑体"/>
          <w:color w:val="000000"/>
          <w:sz w:val="32"/>
          <w:szCs w:val="32"/>
        </w:rPr>
      </w:pPr>
    </w:p>
    <w:sectPr>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FBF937"/>
    <w:multiLevelType w:val="singleLevel"/>
    <w:tmpl w:val="F8FBF937"/>
    <w:lvl w:ilvl="0" w:tentative="0">
      <w:start w:val="2"/>
      <w:numFmt w:val="chineseCounting"/>
      <w:suff w:val="nothing"/>
      <w:lvlText w:val="%1、"/>
      <w:lvlJc w:val="left"/>
      <w:pPr>
        <w:ind w:left="-1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FC300A"/>
    <w:rsid w:val="00E81306"/>
    <w:rsid w:val="00E85285"/>
    <w:rsid w:val="00FB0B40"/>
    <w:rsid w:val="0BFD373F"/>
    <w:rsid w:val="19A97906"/>
    <w:rsid w:val="354744F2"/>
    <w:rsid w:val="42133E51"/>
    <w:rsid w:val="44490C34"/>
    <w:rsid w:val="4C142E66"/>
    <w:rsid w:val="522A02A6"/>
    <w:rsid w:val="61FC30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Plain Text"/>
    <w:basedOn w:val="1"/>
    <w:next w:val="1"/>
    <w:qFormat/>
    <w:uiPriority w:val="0"/>
    <w:rPr>
      <w:rFonts w:ascii="宋体" w:hAnsi="Courier New"/>
    </w:rPr>
  </w:style>
  <w:style w:type="paragraph" w:styleId="3">
    <w:name w:val="annotation text"/>
    <w:basedOn w:val="1"/>
    <w:link w:val="9"/>
    <w:uiPriority w:val="0"/>
    <w:pPr>
      <w:jc w:val="left"/>
    </w:pPr>
  </w:style>
  <w:style w:type="paragraph" w:styleId="4">
    <w:name w:val="Normal (Web)"/>
    <w:basedOn w:val="1"/>
    <w:qFormat/>
    <w:uiPriority w:val="99"/>
    <w:pPr>
      <w:spacing w:before="100" w:beforeAutospacing="1" w:after="100" w:afterAutospacing="1"/>
      <w:jc w:val="left"/>
    </w:pPr>
    <w:rPr>
      <w:kern w:val="0"/>
      <w:sz w:val="24"/>
    </w:rPr>
  </w:style>
  <w:style w:type="paragraph" w:styleId="5">
    <w:name w:val="annotation subject"/>
    <w:basedOn w:val="3"/>
    <w:next w:val="3"/>
    <w:link w:val="10"/>
    <w:uiPriority w:val="0"/>
    <w:rPr>
      <w:b/>
      <w:bCs/>
    </w:rPr>
  </w:style>
  <w:style w:type="character" w:styleId="8">
    <w:name w:val="annotation reference"/>
    <w:basedOn w:val="7"/>
    <w:uiPriority w:val="0"/>
    <w:rPr>
      <w:sz w:val="21"/>
      <w:szCs w:val="21"/>
    </w:rPr>
  </w:style>
  <w:style w:type="character" w:customStyle="1" w:styleId="9">
    <w:name w:val="批注文字 字符"/>
    <w:basedOn w:val="7"/>
    <w:link w:val="3"/>
    <w:uiPriority w:val="0"/>
    <w:rPr>
      <w:rFonts w:ascii="Times New Roman" w:hAnsi="Times New Roman" w:eastAsia="宋体" w:cs="Times New Roman"/>
      <w:kern w:val="2"/>
      <w:sz w:val="21"/>
      <w:szCs w:val="22"/>
    </w:rPr>
  </w:style>
  <w:style w:type="character" w:customStyle="1" w:styleId="10">
    <w:name w:val="批注主题 字符"/>
    <w:basedOn w:val="9"/>
    <w:link w:val="5"/>
    <w:uiPriority w:val="0"/>
    <w:rPr>
      <w:rFonts w:ascii="Times New Roman" w:hAnsi="Times New Roman" w:eastAsia="宋体" w:cs="Times New Roman"/>
      <w:b/>
      <w:bCs/>
      <w:kern w:val="2"/>
      <w:sz w:val="21"/>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357</Words>
  <Characters>2040</Characters>
  <Lines>17</Lines>
  <Paragraphs>4</Paragraphs>
  <TotalTime>9</TotalTime>
  <ScaleCrop>false</ScaleCrop>
  <LinksUpToDate>false</LinksUpToDate>
  <CharactersWithSpaces>2393</CharactersWithSpaces>
  <Application>WPS Office_11.8.2.12089_F1E327BC-269C-435d-A152-05C5408002CA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2025-01-06T09:38:00Z</dcterms:created>
  <dc:creator>lc</dc:creator>
  <cp:lastModifiedBy>丰台文秘:排版</cp:lastModifiedBy>
  <dcterms:modified xsi:type="dcterms:W3CDTF">2025-01-20T03:02:33Z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2052-11.8.2.12089</vt:lpwstr>
  </property>
  <property fmtid="{D5CDD505-2E9C-101B-9397-08002B2CF9AE}" pid="3" name="ICV">
    <vt:lpwstr>77FC938A3D8C4BBF9083C4EC7D41166C</vt:lpwstr>
  </property>
</Properties>
</file>