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  <w:t>北京市丰台区商务局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年政府信息公开工作年度报告</w:t>
      </w:r>
    </w:p>
    <w:p>
      <w:pPr>
        <w:spacing w:line="560" w:lineRule="exact"/>
        <w:jc w:val="center"/>
        <w:rPr>
          <w:sz w:val="44"/>
          <w:szCs w:val="4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依据《中华人民共和国政府信息公开条例》(以下简称《政府信息公开条例》)第五十条规定，编制本报告。</w:t>
      </w:r>
    </w:p>
    <w:p>
      <w:pPr>
        <w:widowControl/>
        <w:spacing w:line="560" w:lineRule="exact"/>
        <w:ind w:firstLine="672" w:firstLineChars="200"/>
        <w:jc w:val="left"/>
        <w:rPr>
          <w:rFonts w:ascii="黑体" w:hAnsi="黑体" w:eastAsia="黑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一、总体情况</w:t>
      </w:r>
    </w:p>
    <w:p>
      <w:pPr>
        <w:widowControl/>
        <w:spacing w:line="560" w:lineRule="exact"/>
        <w:ind w:firstLine="675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202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年，丰台区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商务局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认真贯彻落实《政府信息公开条例》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《2022年政务公开工作要点》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，扎实推进政府信息公开，较好地完成了年度工作任务。</w:t>
      </w:r>
    </w:p>
    <w:p>
      <w:pPr>
        <w:widowControl/>
        <w:spacing w:line="560" w:lineRule="exact"/>
        <w:ind w:firstLine="675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  <w:lang w:val="en-US" w:eastAsia="zh-CN"/>
        </w:rPr>
        <w:t>1.</w:t>
      </w:r>
      <w:r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</w:rPr>
        <w:t>加强组织领导</w:t>
      </w:r>
      <w:r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不断强化组织管理，层层压实责任，各科室形成合力，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理顺工作关系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，全面提升政府信息公开工作标准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，确保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了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政府信息依法依规公开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。</w:t>
      </w:r>
    </w:p>
    <w:p>
      <w:pPr>
        <w:widowControl/>
        <w:spacing w:line="560" w:lineRule="exact"/>
        <w:ind w:firstLine="675"/>
        <w:jc w:val="left"/>
        <w:rPr>
          <w:rFonts w:hint="default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  <w:lang w:val="en-US" w:eastAsia="zh-CN"/>
        </w:rPr>
        <w:t>2.主动公开情况。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全面落实政府信息公开工作各项要求，不断强化信息公开工作力度，持续推进权力清单、财政预决算、民生实事、服务业扩大开放等重点领域的信息公开，确保及时、完整、规范、有效地做好政府信息主动公开工作。</w:t>
      </w:r>
    </w:p>
    <w:p>
      <w:pPr>
        <w:widowControl/>
        <w:spacing w:line="560" w:lineRule="exact"/>
        <w:ind w:firstLine="675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  <w:lang w:val="en-US" w:eastAsia="zh-CN"/>
        </w:rPr>
        <w:t>3.依申请公开办理情况。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2022年，我局共接到依申请公开2件，申请人均为自然人。按照《政府信息公开条例》规定，已在法定期限内依法予以答复，不涉及复议诉讼。</w:t>
      </w:r>
    </w:p>
    <w:p>
      <w:pPr>
        <w:widowControl/>
        <w:spacing w:line="560" w:lineRule="exact"/>
        <w:ind w:firstLine="675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  <w:lang w:val="en-US" w:eastAsia="zh-CN"/>
        </w:rPr>
        <w:t>4.政府信息管理和政府信息公开平台建设情况。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不断加强政府信息管理，严格执行政府信息的主动公开机制、信息发布协调机制和信息公开审批制度，坚持规范政府信息内容，提升信息质量。不断加强平台建设，及时调整完善政府信息主动公开全清单，充分发挥全清单“引领公开、巩固公开、深化公开”作用。牵头建设</w:t>
      </w:r>
      <w:r>
        <w:rPr>
          <w:rFonts w:hint="default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“两区”建设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专题专栏，优化完善栏目和内容。用好政务新媒体，发挥微信公众号宣传解读作用。</w:t>
      </w:r>
    </w:p>
    <w:p>
      <w:pPr>
        <w:widowControl/>
        <w:spacing w:line="560" w:lineRule="exact"/>
        <w:ind w:firstLine="675"/>
        <w:jc w:val="left"/>
      </w:pPr>
      <w:r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  <w:lang w:val="en-US" w:eastAsia="zh-CN"/>
        </w:rPr>
        <w:t>5.政府信息公开教育培训及监督保障情况。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持续加强政府信息公开工作的队伍管理，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积极开展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政府信息公开业务培训，不断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提升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工作人员人员责任意识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工作能力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对主动公开信息加大审核力度，切实做到责任明确，流程规范，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保证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信息公开工作有序开展，确保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政府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信息发布规范、安全、及时、完整、准确。</w:t>
      </w:r>
    </w:p>
    <w:p>
      <w:pPr>
        <w:numPr>
          <w:ilvl w:val="0"/>
          <w:numId w:val="1"/>
        </w:num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主动公开政府信息情况</w:t>
      </w:r>
    </w:p>
    <w:tbl>
      <w:tblPr>
        <w:tblStyle w:val="4"/>
        <w:tblpPr w:leftFromText="180" w:rightFromText="180" w:vertAnchor="text" w:horzAnchor="page" w:tblpXSpec="center" w:tblpY="131"/>
        <w:tblOverlap w:val="never"/>
        <w:tblW w:w="97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第二十条第（一）项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现行有效件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cs="Calibri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cs="Calibri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第二十条第（五）项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cs="Calibri"/>
                <w:kern w:val="0"/>
                <w:sz w:val="21"/>
                <w:szCs w:val="21"/>
                <w:lang w:val="en-US" w:eastAsia="zh-CN" w:bidi="ar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第二十条第（六）项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第二十条第（八）项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本年收费金额（单位：万元）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numPr>
          <w:ilvl w:val="0"/>
          <w:numId w:val="1"/>
        </w:numPr>
        <w:spacing w:line="560" w:lineRule="exact"/>
        <w:ind w:left="0" w:leftChars="0"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收到和处理政府信息公开申请情况</w:t>
      </w:r>
    </w:p>
    <w:tbl>
      <w:tblPr>
        <w:tblStyle w:val="4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3"/>
        <w:gridCol w:w="3220"/>
        <w:gridCol w:w="688"/>
        <w:gridCol w:w="688"/>
        <w:gridCol w:w="688"/>
        <w:gridCol w:w="688"/>
        <w:gridCol w:w="688"/>
        <w:gridCol w:w="688"/>
        <w:gridCol w:w="689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bookmarkStart w:id="0" w:name="_GoBack"/>
            <w:bookmarkEnd w:id="0"/>
            <w:r>
              <w:rPr>
                <w:rFonts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（本列数据的勾稽关系为：第一项加第二项之和，等于第三项加第四项之和）</w:t>
            </w:r>
          </w:p>
        </w:tc>
        <w:tc>
          <w:tcPr>
            <w:tcW w:w="4998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1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自然人</w:t>
            </w:r>
          </w:p>
        </w:tc>
        <w:tc>
          <w:tcPr>
            <w:tcW w:w="35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法人或其他组织</w:t>
            </w:r>
          </w:p>
        </w:tc>
        <w:tc>
          <w:tcPr>
            <w:tcW w:w="714" w:type="dxa"/>
            <w:vMerge w:val="restart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1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商业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企业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科研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机构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社会公益组织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法律服务机构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</w:p>
        </w:tc>
        <w:tc>
          <w:tcPr>
            <w:tcW w:w="714" w:type="dxa"/>
            <w:vMerge w:val="continue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一、本年新收政府信息公开申请数量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二、上年结转政府信息公开申请数量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restart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三、本年度办理结果</w:t>
            </w: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（一）予以公开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（二）部分公开</w:t>
            </w:r>
            <w:r>
              <w:rPr>
                <w:rFonts w:hint="default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（区分处理的，只计这一情形，不计其他情形）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（三）不予公开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1.属于国家秘密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2.其他法律行政法规禁止公开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3.危及“三安全一稳定”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4.保护第三方合法权益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5.属于三类内部事务信息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6.属于四类过程性信息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7.属于行政执法案卷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8.属于行政查询事项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（四）无法提供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1.本机关不掌握相关政府信息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2.没有现成信息需要另行制作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3.补正后申请内容仍不明确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（五）不予处理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1.信访举报投诉类申请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2.重复申请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3.要求提供公开出版物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4.无正当理由大量反复申请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5.要求行政机关确认或重新出具已获取信息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（六）其他处理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1.申请人无正当理由逾期不补正、行政机关不再处理其政府信息公开申请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3.其他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（七）总计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四、结转下年度继续办理</w:t>
            </w:r>
          </w:p>
        </w:tc>
        <w:tc>
          <w:tcPr>
            <w:tcW w:w="688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</w:tbl>
    <w:p>
      <w:pPr>
        <w:pStyle w:val="2"/>
        <w:numPr>
          <w:ilvl w:val="0"/>
          <w:numId w:val="0"/>
        </w:numPr>
        <w:ind w:leftChars="200"/>
        <w:rPr>
          <w:rFonts w:hint="eastAsia"/>
        </w:rPr>
      </w:pPr>
    </w:p>
    <w:p>
      <w:pPr>
        <w:pStyle w:val="2"/>
        <w:numPr>
          <w:ilvl w:val="0"/>
          <w:numId w:val="0"/>
        </w:numPr>
        <w:ind w:leftChars="200"/>
        <w:rPr>
          <w:rFonts w:hint="eastAsia"/>
        </w:rPr>
      </w:pPr>
    </w:p>
    <w:p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四、政府信息公开行政复议、行政诉讼情况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</w:p>
    <w:tbl>
      <w:tblPr>
        <w:tblStyle w:val="4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32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行政复议</w:t>
            </w:r>
          </w:p>
        </w:tc>
        <w:tc>
          <w:tcPr>
            <w:tcW w:w="642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结果维持</w:t>
            </w:r>
          </w:p>
        </w:tc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321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未经复议直接起诉</w:t>
            </w:r>
          </w:p>
        </w:tc>
        <w:tc>
          <w:tcPr>
            <w:tcW w:w="32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  <w:jc w:val="center"/>
        </w:trPr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维持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维持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</w:tbl>
    <w:p>
      <w:pPr>
        <w:keepNext w:val="0"/>
        <w:keepLines w:val="0"/>
        <w:widowControl/>
        <w:suppressLineNumbers w:val="0"/>
        <w:jc w:val="left"/>
      </w:pPr>
    </w:p>
    <w:p>
      <w:pPr>
        <w:widowControl/>
        <w:spacing w:line="560" w:lineRule="exact"/>
        <w:ind w:firstLine="672" w:firstLineChars="200"/>
        <w:jc w:val="left"/>
        <w:rPr>
          <w:rFonts w:ascii="宋体" w:hAnsi="宋体" w:cs="宋体"/>
          <w:spacing w:val="8"/>
          <w:kern w:val="0"/>
          <w:sz w:val="24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五、存在的主要问题及改进情况</w:t>
      </w:r>
    </w:p>
    <w:p>
      <w:pPr>
        <w:widowControl/>
        <w:spacing w:line="560" w:lineRule="exact"/>
        <w:ind w:firstLine="672" w:firstLineChars="200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202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年，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丰台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区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商务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局政府信息公开工作虽然取得一些成绩，但仍存在一些不足：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一是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信息公开的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及时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性不足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个别信息存在滞后现象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；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二是信息质量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有待提高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规范化、精准化程度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需要进一步提升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。</w:t>
      </w:r>
    </w:p>
    <w:p>
      <w:pPr>
        <w:pStyle w:val="2"/>
        <w:ind w:firstLine="672" w:firstLineChars="200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在下一步工作中，我们将继续加强对政府信息公开工作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监督管理，严密组织各科室协调配合，加强教育培训，确保政府信息及时、有效、高质量发布。</w:t>
      </w:r>
    </w:p>
    <w:p>
      <w:pPr>
        <w:widowControl/>
        <w:spacing w:line="560" w:lineRule="exact"/>
        <w:ind w:firstLine="675"/>
        <w:jc w:val="left"/>
        <w:rPr>
          <w:rFonts w:ascii="宋体" w:hAnsi="宋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六、其他需要报告的事项</w:t>
      </w:r>
    </w:p>
    <w:p>
      <w:pPr>
        <w:widowControl/>
        <w:spacing w:line="560" w:lineRule="exact"/>
        <w:ind w:firstLine="672" w:firstLineChars="200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发出收费通知的件数和总金额以及实际收取的总金额均为0。</w:t>
      </w:r>
    </w:p>
    <w:p>
      <w:pPr>
        <w:widowControl/>
        <w:spacing w:line="560" w:lineRule="exact"/>
        <w:ind w:firstLine="672" w:firstLineChars="200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如您想了解更多北京市丰台区政府信息，欢迎登录以下网址查询：</w:t>
      </w:r>
    </w:p>
    <w:p>
      <w:pPr>
        <w:widowControl/>
        <w:spacing w:line="560" w:lineRule="exact"/>
        <w:ind w:firstLine="672" w:firstLineChars="200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北京市丰台区人民政府门户网站：http://www.bjft.gov.cn/ftq/index.shtml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8FBF937"/>
    <w:multiLevelType w:val="singleLevel"/>
    <w:tmpl w:val="F8FBF937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4YzNjNTI5M2U1NmJlMzQzYTVkMTk1YjY4OWY1MmEifQ=="/>
  </w:docVars>
  <w:rsids>
    <w:rsidRoot w:val="66A9245F"/>
    <w:rsid w:val="00343312"/>
    <w:rsid w:val="018139DF"/>
    <w:rsid w:val="03625C3C"/>
    <w:rsid w:val="054D7784"/>
    <w:rsid w:val="05DB6A5C"/>
    <w:rsid w:val="08B17422"/>
    <w:rsid w:val="09466A9C"/>
    <w:rsid w:val="148C32DA"/>
    <w:rsid w:val="184F4EFC"/>
    <w:rsid w:val="18CF2B59"/>
    <w:rsid w:val="1E9F3701"/>
    <w:rsid w:val="20CD33AE"/>
    <w:rsid w:val="2935471A"/>
    <w:rsid w:val="2EBA5D68"/>
    <w:rsid w:val="36486E6A"/>
    <w:rsid w:val="36ED2BD6"/>
    <w:rsid w:val="372C4A38"/>
    <w:rsid w:val="38010D3F"/>
    <w:rsid w:val="385908ED"/>
    <w:rsid w:val="3E737DF3"/>
    <w:rsid w:val="420133A2"/>
    <w:rsid w:val="43710846"/>
    <w:rsid w:val="445B012E"/>
    <w:rsid w:val="45111DA3"/>
    <w:rsid w:val="47F36995"/>
    <w:rsid w:val="4DFB0F24"/>
    <w:rsid w:val="5733667B"/>
    <w:rsid w:val="5AA96C68"/>
    <w:rsid w:val="5BF16C3A"/>
    <w:rsid w:val="6363537F"/>
    <w:rsid w:val="66A9245F"/>
    <w:rsid w:val="68D94EAB"/>
    <w:rsid w:val="6F2C4DCA"/>
    <w:rsid w:val="70905B57"/>
    <w:rsid w:val="74707881"/>
    <w:rsid w:val="766C4A66"/>
    <w:rsid w:val="7F473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jc w:val="both"/>
    </w:pPr>
    <w:rPr>
      <w:rFonts w:ascii="Calibri" w:hAnsi="Calibri" w:eastAsia="宋体" w:cs="Times New Roman"/>
      <w:kern w:val="2"/>
      <w:sz w:val="21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styleId="3">
    <w:name w:val="Normal (Web)"/>
    <w:basedOn w:val="1"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FollowedHyperlink"/>
    <w:basedOn w:val="5"/>
    <w:qFormat/>
    <w:uiPriority w:val="0"/>
    <w:rPr>
      <w:color w:val="333333"/>
      <w:u w:val="none"/>
    </w:rPr>
  </w:style>
  <w:style w:type="character" w:styleId="7">
    <w:name w:val="Hyperlink"/>
    <w:basedOn w:val="5"/>
    <w:uiPriority w:val="0"/>
    <w:rPr>
      <w:color w:val="333333"/>
      <w:u w:val="none"/>
    </w:rPr>
  </w:style>
  <w:style w:type="character" w:customStyle="1" w:styleId="8">
    <w:name w:val="hover26"/>
    <w:basedOn w:val="5"/>
    <w:qFormat/>
    <w:uiPriority w:val="0"/>
    <w:rPr>
      <w:u w:val="none"/>
    </w:rPr>
  </w:style>
  <w:style w:type="character" w:customStyle="1" w:styleId="9">
    <w:name w:val="hover27"/>
    <w:basedOn w:val="5"/>
    <w:qFormat/>
    <w:uiPriority w:val="0"/>
    <w:rPr>
      <w:color w:val="5FB878"/>
    </w:rPr>
  </w:style>
  <w:style w:type="character" w:customStyle="1" w:styleId="10">
    <w:name w:val="hover28"/>
    <w:basedOn w:val="5"/>
    <w:qFormat/>
    <w:uiPriority w:val="0"/>
    <w:rPr>
      <w:color w:val="5FB878"/>
    </w:rPr>
  </w:style>
  <w:style w:type="character" w:customStyle="1" w:styleId="11">
    <w:name w:val="hover29"/>
    <w:basedOn w:val="5"/>
    <w:uiPriority w:val="0"/>
    <w:rPr>
      <w:color w:val="FFFFFF"/>
    </w:rPr>
  </w:style>
  <w:style w:type="character" w:customStyle="1" w:styleId="12">
    <w:name w:val="layui-this2"/>
    <w:basedOn w:val="5"/>
    <w:qFormat/>
    <w:uiPriority w:val="0"/>
    <w:rPr>
      <w:bdr w:val="single" w:color="EEEEEE" w:sz="4" w:space="0"/>
      <w:shd w:val="clear" w:fill="FFFFFF"/>
    </w:rPr>
  </w:style>
  <w:style w:type="character" w:customStyle="1" w:styleId="13">
    <w:name w:val="sx"/>
    <w:basedOn w:val="5"/>
    <w:uiPriority w:val="0"/>
    <w:rPr>
      <w:vanish/>
    </w:rPr>
  </w:style>
  <w:style w:type="character" w:customStyle="1" w:styleId="14">
    <w:name w:val="cur"/>
    <w:basedOn w:val="5"/>
    <w:uiPriority w:val="0"/>
  </w:style>
  <w:style w:type="character" w:customStyle="1" w:styleId="15">
    <w:name w:val="cur1"/>
    <w:basedOn w:val="5"/>
    <w:qFormat/>
    <w:uiPriority w:val="0"/>
  </w:style>
  <w:style w:type="character" w:customStyle="1" w:styleId="16">
    <w:name w:val="first-child"/>
    <w:basedOn w:val="5"/>
    <w:qFormat/>
    <w:uiPriority w:val="0"/>
  </w:style>
  <w:style w:type="character" w:customStyle="1" w:styleId="17">
    <w:name w:val="layui-this"/>
    <w:basedOn w:val="5"/>
    <w:qFormat/>
    <w:uiPriority w:val="0"/>
    <w:rPr>
      <w:bdr w:val="single" w:color="EEEEEE" w:sz="4" w:space="0"/>
      <w:shd w:val="clear" w:fill="FFFFFF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2022-12-29T02:49:00Z</dcterms:created>
  <dc:creator>lc</dc:creator>
  <cp:lastModifiedBy>SYSTEM</cp:lastModifiedBy>
  <dcterms:modified xsi:type="dcterms:W3CDTF">2023-01-17T06:29:08Z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  <property fmtid="{D5CDD505-2E9C-101B-9397-08002B2CF9AE}" pid="3" name="ICV">
    <vt:lpwstr>582BB82DFC0C44C5A7B63D9460D22CE5</vt:lpwstr>
  </property>
</Properties>
</file>