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74366">
      <w:pPr>
        <w:spacing w:line="560" w:lineRule="exact"/>
        <w:jc w:val="center"/>
        <w:rPr>
          <w:rStyle w:val="9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北京市丰台区右安门街道办事处</w:t>
      </w:r>
    </w:p>
    <w:p w14:paraId="26BA14D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2024年政府信息公开工作年度报告</w:t>
      </w:r>
    </w:p>
    <w:p w14:paraId="5D4FBC51"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kern w:val="0"/>
          <w:sz w:val="32"/>
          <w:szCs w:val="32"/>
        </w:rPr>
        <w:t xml:space="preserve"> </w:t>
      </w:r>
    </w:p>
    <w:p w14:paraId="7D0AC04A"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 w14:paraId="077BE6E3">
      <w:pPr>
        <w:widowControl/>
        <w:spacing w:line="560" w:lineRule="exact"/>
        <w:ind w:firstLine="672" w:firstLineChars="200"/>
        <w:jc w:val="left"/>
        <w:rPr>
          <w:rFonts w:hint="eastAsia"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 w14:paraId="63E6D4AE">
      <w:pPr>
        <w:widowControl/>
        <w:spacing w:line="560" w:lineRule="exact"/>
        <w:ind w:firstLine="672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4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右安门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街道认真贯彻落实《中华人民共和国政府信息公开条例》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持续健全政府信息公开工作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机制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，坚持“以公开为原则，以不公开为例外”的工作原则，进一步提升政府工作透明度，切实满足社会公众获取和利用政府信息的需求，持续推动法治政府、创新政府、廉洁政府和服务型政府建设，促进经济社会健康发展。</w:t>
      </w:r>
    </w:p>
    <w:p w14:paraId="12A74D2F"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 xml:space="preserve"> 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（一）公开情况</w:t>
      </w:r>
    </w:p>
    <w:p w14:paraId="2647FE09">
      <w:pPr>
        <w:widowControl/>
        <w:spacing w:line="560" w:lineRule="exact"/>
        <w:ind w:firstLine="672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本街道202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4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年累计主动公开政府信息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835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其中基层动态类信息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401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条，“双公示”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信息427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条，政府公告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5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条，政府信息公开专栏类信息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2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通过区政府网站、微信、微博等多种形式的载体，对政府信息进行全面、及时、主动公开。</w:t>
      </w:r>
    </w:p>
    <w:p w14:paraId="0213DAE5">
      <w:pPr>
        <w:widowControl/>
        <w:spacing w:line="560" w:lineRule="exact"/>
        <w:ind w:firstLine="672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本街道202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4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年新收政府信息公开申请数量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8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上年结转政府信息公开申请数量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条，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信息公开申请人均为自然人。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已答复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条，结转下年度继续办理3条。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按照《政府信息公开条例》规定，街道依申请公</w:t>
      </w:r>
      <w:bookmarkStart w:id="0" w:name="_GoBack"/>
      <w:bookmarkEnd w:id="0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开政府信息受理渠道畅通。答复率和答复及时率均100%。</w:t>
      </w:r>
    </w:p>
    <w:p w14:paraId="39336CAB"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　　（二）政府信息规范化标准化管理情况</w:t>
      </w:r>
    </w:p>
    <w:p w14:paraId="6FBE1710">
      <w:pPr>
        <w:widowControl/>
        <w:spacing w:line="560" w:lineRule="exact"/>
        <w:ind w:firstLine="672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本街道梳理完善街道信息公开办事流程,严格执行先审查后公开、一事一审、全面审查的原则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进一步提高公共服务水平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，积极推进政府信息资源的规范化、标准化、信息化管理。按照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要求发布各项信息，确保信息公开的时效性、有效性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。</w:t>
      </w:r>
    </w:p>
    <w:p w14:paraId="1BEBAE38"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　　（三）政府信息公开平台建设情况</w:t>
      </w:r>
    </w:p>
    <w:p w14:paraId="51F86BB6">
      <w:pPr>
        <w:widowControl/>
        <w:spacing w:line="560" w:lineRule="exact"/>
        <w:ind w:firstLine="672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本街道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高度重视政府信息公开平台规范统一，不断加强互联网政府信息公开平台建设，多渠道政务公开、回应社会关切，提升政府执行力和公信力。落实责任主体，及时更新栏目信息，按照职责分工，相关部门主动提供公开内容，每日审核发布动态工作内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。</w:t>
      </w:r>
    </w:p>
    <w:p w14:paraId="66DC6CFC"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　　（四）政府信息公开监督培训情况</w:t>
      </w:r>
    </w:p>
    <w:p w14:paraId="6FB3C874">
      <w:pPr>
        <w:widowControl/>
        <w:spacing w:line="560" w:lineRule="exact"/>
        <w:ind w:firstLine="672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本街道按照工作要求,及时对相关部门进行业务指导，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提高思想认识与业务知识水平，不断改进工作质量，提高办事效率，做好信息公开工作。</w:t>
      </w:r>
    </w:p>
    <w:p w14:paraId="2517414E">
      <w:pPr>
        <w:widowControl/>
        <w:spacing w:line="560" w:lineRule="exact"/>
        <w:ind w:firstLine="672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为切实推动政务公开制度落地生根，助力政府办事效率稳步提升，我街道全方位构建监督网络，设立了公开监督电话：83401755，同时推行领导接待日等渠道，广泛征求干部群众对政务公开的意见及建议。</w:t>
      </w:r>
    </w:p>
    <w:p w14:paraId="06FD9594">
      <w:pPr>
        <w:pStyle w:val="4"/>
      </w:pPr>
    </w:p>
    <w:p w14:paraId="412B90C1">
      <w:pPr>
        <w:pStyle w:val="4"/>
      </w:pPr>
    </w:p>
    <w:p w14:paraId="12A69E57"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7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0E749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309AF6B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62E41B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5160026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9E4A8F3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4F1A029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88F4118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 w14:paraId="6E059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ED0F3F5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D01A812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CBC0FC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B191070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5C93DA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97C65C0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14F094C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250974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22EEB7B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10E91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6479C29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7A4078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88500C0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13BEC8C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1E5DF3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49FABE5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DE19D5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4805DB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7AC22E9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06A98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3F41F0C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A9D0D81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7F12A7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067411D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8E38CC5">
            <w:pPr>
              <w:jc w:val="center"/>
            </w:pPr>
            <w:r>
              <w:rPr>
                <w:rFonts w:hint="eastAsia"/>
              </w:rPr>
              <w:t>427</w:t>
            </w:r>
          </w:p>
        </w:tc>
      </w:tr>
      <w:tr w14:paraId="7358B8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A541ADC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C9F43B9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37178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2A120D5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6D35D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9FB73E3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12ACEB2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2218F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B83FECE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C4D17A3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0</w:t>
            </w:r>
          </w:p>
        </w:tc>
      </w:tr>
    </w:tbl>
    <w:p w14:paraId="5276195E">
      <w:pPr>
        <w:pStyle w:val="2"/>
      </w:pPr>
    </w:p>
    <w:p w14:paraId="4D812363">
      <w:pPr>
        <w:pStyle w:val="2"/>
      </w:pPr>
    </w:p>
    <w:p w14:paraId="61532107">
      <w:pPr>
        <w:pStyle w:val="2"/>
      </w:pPr>
    </w:p>
    <w:p w14:paraId="5C9FF56B">
      <w:pPr>
        <w:pStyle w:val="2"/>
      </w:pPr>
    </w:p>
    <w:p w14:paraId="27803394"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04D8F8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1F470080"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38042340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4E45E7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1CBEEF1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458ADD8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848495C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A9A3109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2828775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7D20E703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F164837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F48F344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 w14:paraId="0DE67B58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C23AFD4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 w14:paraId="0DCEAD75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54592B3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CD5D634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BAC0620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B393864">
            <w:pPr>
              <w:rPr>
                <w:rFonts w:ascii="宋体"/>
                <w:sz w:val="24"/>
                <w:szCs w:val="24"/>
              </w:rPr>
            </w:pPr>
          </w:p>
        </w:tc>
      </w:tr>
      <w:tr w14:paraId="2A503B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FF5E1BE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9C21FD9">
            <w:pPr>
              <w:widowControl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19ECA2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92D117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34F0CD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404EA3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4C6173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418FFBE">
            <w:pPr>
              <w:widowControl/>
              <w:jc w:val="center"/>
            </w:pPr>
            <w:r>
              <w:rPr>
                <w:rFonts w:hint="eastAsia"/>
              </w:rPr>
              <w:t>8</w:t>
            </w:r>
          </w:p>
        </w:tc>
      </w:tr>
      <w:tr w14:paraId="6D9277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4D2BF55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91D80A3">
            <w:pPr>
              <w:widowControl/>
              <w:jc w:val="center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733D9F9">
            <w:pPr>
              <w:widowControl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E234C90">
            <w:pPr>
              <w:widowControl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EA96EAC">
            <w:pPr>
              <w:widowControl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D961A6E">
            <w:pPr>
              <w:widowControl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CD2F184">
            <w:pPr>
              <w:widowControl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F87BACD">
            <w:pPr>
              <w:widowControl/>
              <w:jc w:val="center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0</w:t>
            </w:r>
          </w:p>
        </w:tc>
      </w:tr>
      <w:tr w14:paraId="15EE4E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1482516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BD76034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6AECDF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3114E9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65A65A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41900C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389C4F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44548D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10E6E3B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 w14:paraId="1C4C7EC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F2F7E0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8310C30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944F484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769B52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D124C6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C78290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E26AFE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DF5C552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93DBE3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28E6D6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B141BDB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B581C0A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31C409D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83DB8D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1DC3E2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69D26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484319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D122BA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EE69E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13AAAA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6EFF15D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85A17DB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7B56B49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16E0281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965076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FCD2D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DB62E6A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8EF155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75A8EF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04388E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760B95D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2025FE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779B42A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1772A40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A4D85B7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343AFC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17EC85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9DEED5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C87FEE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4C041B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2EA9E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4B370FD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357BCC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3239B65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E96121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06B76E2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A1B382D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4B3763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CF7283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49362D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8AFC9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7D02B7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B96893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47FB49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60B19A7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67D372A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0AB79BE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5156212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E91F89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54D662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62D21F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60B00B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D3FC95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2A3958C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 w14:paraId="7EF9C7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82D0CF6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EB54363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72E3135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1A32E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995A25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EAD135D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A022B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BFBA11D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3EAC1B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EB978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6702F4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4F8C125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32FDFB9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9EA01C1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D73A3A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C0EEAC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9E52B0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EAFBDB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AB3422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BA3BA1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0A7D24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24FED6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ACA3AB3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0576D69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DD4116C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A87BA32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5D62ED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C56A8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27BE01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8D6A7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9848B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6761BC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70D70E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50CE7C9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9F659FA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5680CE3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4851787">
            <w:pPr>
              <w:widowControl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4B661A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624687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7559F5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0A24B7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7C928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6CCF2F3">
            <w:pPr>
              <w:widowControl/>
              <w:jc w:val="center"/>
            </w:pPr>
            <w:r>
              <w:rPr>
                <w:rFonts w:hint="eastAsia"/>
              </w:rPr>
              <w:t>3</w:t>
            </w:r>
          </w:p>
        </w:tc>
      </w:tr>
      <w:tr w14:paraId="629B7F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6AEB0A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FB04141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AFEC2BA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80116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832C87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699CFCA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ECDA87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36BD33A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9ECF4FA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827A36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4459A2F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02D89BA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8922BC3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16022E2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07CDB4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8EA286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4A38B7A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683415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654E66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C1694DD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89F38C2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470270C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001F437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FAC318C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681E4F5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EF93BA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5381B7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F5B3E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63CC21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65CFB3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3C69C0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930E2A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07C091F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2EA8D53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9B68F19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A4DFB54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0B39C4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53568C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507738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5A01C6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AA0EE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35EE0E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758172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6ACE5C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8591F5E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C8583E9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66AFE67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5B358A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A42CC2D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E50454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9A837E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7AC0C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50B66A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589A04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110621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3607938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601FACA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EA86950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BA81D4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E451D6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B4BF4C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20B32F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8021F8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6B11F22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526409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5AA643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F6DCA8A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77914D3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1E30AB5"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DDA263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7AC3C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B91DC1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712140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C1F91F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78DFBA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2A3612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74DB34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B3B4446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25C5E35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266C763"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09BA8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8B0036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BBBACB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1A9B94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204AA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530C71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9987F3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6BE38D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F789393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ABCDD35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4D075D3"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E28A1D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4D3F2E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23DF14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41C901A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010CE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315A6E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3EA386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38E96A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78927D1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4EC6363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EF05042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0AF8C7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8541B8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6ECE9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4352EB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B045B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44475B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7646A4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4355B7D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09BE6F8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661E4F2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B1ADD17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E8C48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4F698E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D8F37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6CC54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955CCC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15357F6A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</w:tr>
      <w:tr w14:paraId="4AEB7F6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1BFD220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1EDF272F"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single" w:color="auto" w:sz="4" w:space="0"/>
              <w:right w:val="outset" w:color="auto" w:sz="6" w:space="0"/>
            </w:tcBorders>
            <w:vAlign w:val="center"/>
          </w:tcPr>
          <w:p w14:paraId="1DC28B4B"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single" w:color="auto" w:sz="4" w:space="0"/>
              <w:right w:val="outset" w:color="auto" w:sz="6" w:space="0"/>
            </w:tcBorders>
            <w:vAlign w:val="center"/>
          </w:tcPr>
          <w:p w14:paraId="1EF40E10"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single" w:color="auto" w:sz="4" w:space="0"/>
              <w:right w:val="outset" w:color="auto" w:sz="6" w:space="0"/>
            </w:tcBorders>
            <w:vAlign w:val="center"/>
          </w:tcPr>
          <w:p w14:paraId="1800C56D"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single" w:color="auto" w:sz="4" w:space="0"/>
              <w:right w:val="outset" w:color="auto" w:sz="6" w:space="0"/>
            </w:tcBorders>
            <w:vAlign w:val="center"/>
          </w:tcPr>
          <w:p w14:paraId="296AB9E8"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single" w:color="auto" w:sz="4" w:space="0"/>
              <w:right w:val="outset" w:color="auto" w:sz="6" w:space="0"/>
            </w:tcBorders>
            <w:vAlign w:val="center"/>
          </w:tcPr>
          <w:p w14:paraId="6FDCB0E7"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E9A07"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</w:tbl>
    <w:p w14:paraId="64D39EB0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781814BF">
      <w:pPr>
        <w:pStyle w:val="2"/>
      </w:pPr>
    </w:p>
    <w:p w14:paraId="4CFFB34F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 w14:paraId="3C7843C5">
      <w:pPr>
        <w:widowControl/>
        <w:jc w:val="center"/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60ABF7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569A8B3F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406108C1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461E0A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FD7F1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5B259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0AB089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B3D27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1E673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4944E498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360A6741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790AA6C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8AF8758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11B701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DB87CAE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343C22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6BE45CC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B5D7429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7CBD167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9D0D64F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3751E51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6FC87D8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05AFE07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9AE8376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9524457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E8270B2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5236E62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7B3E17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9153E29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D084D5E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3D56217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A8028A1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AC4BC39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C5EA4D1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3D5128D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00DD827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F265BAD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B28A50D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6BB6272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DCE4395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E909D52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D3B8648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2CA1B34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</w:tr>
    </w:tbl>
    <w:p w14:paraId="7BD93FB8">
      <w:pPr>
        <w:widowControl/>
        <w:jc w:val="left"/>
      </w:pPr>
    </w:p>
    <w:p w14:paraId="710582FB">
      <w:pPr>
        <w:widowControl/>
        <w:spacing w:line="560" w:lineRule="exact"/>
        <w:ind w:firstLine="672" w:firstLineChars="200"/>
        <w:jc w:val="left"/>
        <w:rPr>
          <w:rFonts w:hint="eastAsia" w:ascii="黑体" w:hAnsi="黑体" w:eastAsia="黑体" w:cs="宋体"/>
          <w:spacing w:val="8"/>
          <w:kern w:val="0"/>
          <w:sz w:val="32"/>
          <w:szCs w:val="32"/>
        </w:rPr>
      </w:pPr>
    </w:p>
    <w:p w14:paraId="5B203189"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 w14:paraId="72DA4F0F"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4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年在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右安门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街道政府信息公开工作稳步推进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，但是信息公开的积极性、时效性等方面还存在需要改进和加强。</w:t>
      </w:r>
    </w:p>
    <w:p w14:paraId="3D18A3B7"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一是提高信息公开时效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。对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信息公开相关工作进行全面梳理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。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进一步优化信息收集、审核、发布的流程，明确各环节的责任人和时间节点。同时，加大日常检查各栏目内容的频次，定期对信息公开情况进行自查自纠，确保信息公开工作高标准、高质量完成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。</w:t>
      </w:r>
    </w:p>
    <w:p w14:paraId="359095B3"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二是建立热点信息监测机制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。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及时掌握群众关注的焦点问题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  <w:t>对百姓关注的急难愁盼问题，组织相关部门和专业人员进行深入研究，制定详细的政策解答方案，确保政策解答准确、全面、易懂。此外，创新公开形式，充分利用新媒体平台，制作并发布小视频、小短剧等生动有趣、通俗易懂的政策解读内容，以群众喜闻乐见的方式，提高信息公开的吸引力和影响力，增强群众对政策的理解和认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。</w:t>
      </w:r>
    </w:p>
    <w:p w14:paraId="10F8B57D"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 w14:paraId="69189325"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发出收费通知的件数和总金额以及实际收取的总金额均为0。</w:t>
      </w:r>
    </w:p>
    <w:p w14:paraId="32AAA56C">
      <w:pPr>
        <w:pStyle w:val="2"/>
        <w:widowControl/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ascii="微软雅黑" w:hAnsi="微软雅黑" w:eastAsia="微软雅黑" w:cs="宋体"/>
          <w:kern w:val="0"/>
          <w:sz w:val="32"/>
          <w:szCs w:val="32"/>
        </w:rPr>
        <w:t xml:space="preserve"> </w:t>
      </w:r>
    </w:p>
    <w:p w14:paraId="3EEA5044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61AD385E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36D1A596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A940DA5D-A601-4475-AE47-23B32783CEBB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3BC2089C-AF16-461E-A162-409CE6B7245A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8DDC6726-AFCD-444C-AC49-7CDEFC9988C5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D9C4B69D-A79E-4C2B-BD7E-56D51DF24F3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87CAC28-9068-4E62-99EB-09A843BD4C8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6" w:fontKey="{DD5F0F4E-0654-4C6E-9306-DCD96CDFC63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F577A796-D915-4E3F-97B0-87165624E608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8" w:fontKey="{F92924AA-0D48-497A-A7F1-7EBB39DFDE3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9" w:fontKey="{B8E6D1FC-6A67-4E9D-AD91-3823DA3BFB1C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10" w:fontKey="{CB7EC888-5D90-4768-91E7-C6980D7E6A9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1" w:fontKey="{3F666AF5-37B5-44DE-8BB2-3D74BA08724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2" w:fontKey="{0E5EBDB3-A391-4123-85EB-C8FB6BB0720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0AB6BD0"/>
    <w:rsid w:val="00EB2FA7"/>
    <w:rsid w:val="00EC3254"/>
    <w:rsid w:val="05EB7D6C"/>
    <w:rsid w:val="12906465"/>
    <w:rsid w:val="1BCD33CD"/>
    <w:rsid w:val="3BE40C2E"/>
    <w:rsid w:val="56CF50C3"/>
    <w:rsid w:val="61FC300A"/>
    <w:rsid w:val="68E11452"/>
    <w:rsid w:val="6C4E5A71"/>
    <w:rsid w:val="6FF51C3C"/>
    <w:rsid w:val="7CE6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annotation text"/>
    <w:basedOn w:val="1"/>
    <w:link w:val="10"/>
    <w:qFormat/>
    <w:uiPriority w:val="0"/>
    <w:pPr>
      <w:jc w:val="left"/>
    </w:pPr>
  </w:style>
  <w:style w:type="paragraph" w:styleId="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annotation subject"/>
    <w:basedOn w:val="3"/>
    <w:next w:val="3"/>
    <w:link w:val="11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批注文字 字符"/>
    <w:basedOn w:val="8"/>
    <w:link w:val="3"/>
    <w:qFormat/>
    <w:uiPriority w:val="0"/>
    <w:rPr>
      <w:kern w:val="2"/>
      <w:sz w:val="21"/>
      <w:szCs w:val="22"/>
    </w:rPr>
  </w:style>
  <w:style w:type="character" w:customStyle="1" w:styleId="11">
    <w:name w:val="批注主题 字符"/>
    <w:basedOn w:val="10"/>
    <w:link w:val="6"/>
    <w:qFormat/>
    <w:uiPriority w:val="0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1074</Words>
  <Characters>1104</Characters>
  <Lines>18</Lines>
  <Paragraphs>5</Paragraphs>
  <TotalTime>12</TotalTime>
  <ScaleCrop>false</ScaleCrop>
  <LinksUpToDate>false</LinksUpToDate>
  <CharactersWithSpaces>1120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张超群</cp:lastModifiedBy>
  <cp:lastPrinted>2025-01-10T03:09:00Z</cp:lastPrinted>
  <dcterms:modified xsi:type="dcterms:W3CDTF">2025-01-24T03:08:48Z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ECAA126016834E4CA0B051D32D64BDF9_13</vt:lpwstr>
  </property>
  <property fmtid="{D5CDD505-2E9C-101B-9397-08002B2CF9AE}" pid="4" name="KSOTemplateDocerSaveRecord">
    <vt:lpwstr>eyJoZGlkIjoiN2FiNDIxZTlkZjBlMTc0YzY5M2FkYTY4NjI3YWJlZTgiLCJ1c2VySWQiOiIxNjY5MjE3NjA3In0=</vt:lpwstr>
  </property>
</Properties>
</file>