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ADD45">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北京市丰台区人民政府花乡街道办事处</w:t>
      </w:r>
    </w:p>
    <w:p w14:paraId="755760CD">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2024年政府信息公开工作年度报告</w:t>
      </w:r>
    </w:p>
    <w:p w14:paraId="34299647">
      <w:pPr>
        <w:spacing w:line="560" w:lineRule="exact"/>
        <w:jc w:val="center"/>
        <w:rPr>
          <w:rFonts w:hint="eastAsia" w:ascii="微软雅黑" w:hAnsi="微软雅黑" w:eastAsia="微软雅黑" w:cs="宋体"/>
          <w:color w:val="404040"/>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14:paraId="3A76FABC">
      <w:pPr>
        <w:spacing w:line="560" w:lineRule="exact"/>
        <w:ind w:firstLine="672" w:firstLineChars="200"/>
        <w:jc w:val="left"/>
        <w:rPr>
          <w:rFonts w:eastAsia="仿宋_GB2312"/>
          <w:spacing w:val="8"/>
          <w:kern w:val="0"/>
          <w:sz w:val="32"/>
          <w:szCs w:val="32"/>
        </w:rPr>
      </w:pPr>
      <w:r>
        <w:rPr>
          <w:rFonts w:eastAsia="仿宋_GB2312"/>
          <w:spacing w:val="8"/>
          <w:kern w:val="0"/>
          <w:sz w:val="32"/>
          <w:szCs w:val="32"/>
        </w:rPr>
        <w:t>依据《中华人民共和国政府信息公开条例》(以下简称《政府信息公开条例》)第五十条规定，编制本报告。</w:t>
      </w:r>
    </w:p>
    <w:p w14:paraId="017DC914">
      <w:pPr>
        <w:widowControl/>
        <w:numPr>
          <w:ilvl w:val="0"/>
          <w:numId w:val="1"/>
        </w:numPr>
        <w:spacing w:line="560" w:lineRule="exact"/>
        <w:ind w:firstLine="672" w:firstLineChars="200"/>
        <w:jc w:val="left"/>
        <w:rPr>
          <w:rFonts w:eastAsia="黑体"/>
          <w:spacing w:val="8"/>
          <w:kern w:val="0"/>
          <w:sz w:val="32"/>
          <w:szCs w:val="32"/>
        </w:rPr>
      </w:pPr>
      <w:r>
        <w:rPr>
          <w:rFonts w:eastAsia="黑体"/>
          <w:spacing w:val="8"/>
          <w:kern w:val="0"/>
          <w:sz w:val="32"/>
          <w:szCs w:val="32"/>
        </w:rPr>
        <w:t>总体情况</w:t>
      </w:r>
    </w:p>
    <w:p w14:paraId="5197C261">
      <w:pPr>
        <w:pStyle w:val="4"/>
        <w:spacing w:line="560" w:lineRule="exact"/>
        <w:ind w:firstLine="672" w:firstLineChars="200"/>
        <w:jc w:val="left"/>
        <w:rPr>
          <w:rFonts w:eastAsia="仿宋_GB2312"/>
          <w:spacing w:val="8"/>
          <w:kern w:val="0"/>
          <w:sz w:val="32"/>
          <w:szCs w:val="32"/>
        </w:rPr>
      </w:pPr>
      <w:r>
        <w:rPr>
          <w:rFonts w:eastAsia="仿宋_GB2312"/>
          <w:spacing w:val="8"/>
          <w:kern w:val="0"/>
          <w:sz w:val="32"/>
          <w:szCs w:val="32"/>
        </w:rPr>
        <w:t>为按要求执行《丰台区2024年度政务公开工作指导要点》的相关规定，</w:t>
      </w:r>
      <w:r>
        <w:rPr>
          <w:rFonts w:hint="eastAsia" w:eastAsia="仿宋_GB2312"/>
          <w:spacing w:val="8"/>
          <w:kern w:val="0"/>
          <w:sz w:val="32"/>
          <w:szCs w:val="32"/>
        </w:rPr>
        <w:t>花乡街道办事处</w:t>
      </w:r>
      <w:r>
        <w:rPr>
          <w:rFonts w:eastAsia="仿宋_GB2312"/>
          <w:spacing w:val="8"/>
          <w:kern w:val="0"/>
          <w:sz w:val="32"/>
          <w:szCs w:val="32"/>
        </w:rPr>
        <w:t>充分利用区政府官方网站的平台优势，依据重点领域政府信息公开的具体职责划分，积极公开了本街道在社区活动进展、财政预算详情、法治建设进展以及行政执法检查等方面的信息。现将2024年工作的实际执行情况总结汇报如下：</w:t>
      </w:r>
    </w:p>
    <w:p w14:paraId="4608F355">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（一）</w:t>
      </w:r>
      <w:r>
        <w:rPr>
          <w:rFonts w:ascii="Times New Roman" w:hAnsi="Times New Roman" w:eastAsia="楷体_GB2312"/>
          <w:color w:val="000000"/>
          <w:sz w:val="32"/>
          <w:szCs w:val="32"/>
        </w:rPr>
        <w:t>组织领导</w:t>
      </w:r>
    </w:p>
    <w:p w14:paraId="606BDEFD">
      <w:pPr>
        <w:pStyle w:val="2"/>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花乡街道始终将信息公开作为提升政府服务效能、增强公众信任度的重要抓手，通过构建高效的组织领导与协调机制，明确了信息公开工作的责任主体，由综合办公室统筹协调，各业务部门间</w:t>
      </w:r>
      <w:r>
        <w:rPr>
          <w:rFonts w:hint="eastAsia" w:ascii="Times New Roman" w:hAnsi="Times New Roman" w:eastAsia="仿宋_GB2312"/>
          <w:sz w:val="32"/>
          <w:szCs w:val="32"/>
        </w:rPr>
        <w:t>配合</w:t>
      </w:r>
      <w:r>
        <w:rPr>
          <w:rFonts w:ascii="Times New Roman" w:hAnsi="Times New Roman" w:eastAsia="仿宋_GB2312"/>
          <w:sz w:val="32"/>
          <w:szCs w:val="32"/>
        </w:rPr>
        <w:t>，形成了上下联动、左右协同的工作格局。</w:t>
      </w:r>
    </w:p>
    <w:p w14:paraId="25568B52">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（二）</w:t>
      </w:r>
      <w:r>
        <w:rPr>
          <w:rFonts w:ascii="Times New Roman" w:hAnsi="Times New Roman" w:eastAsia="楷体_GB2312"/>
          <w:color w:val="000000"/>
          <w:sz w:val="32"/>
          <w:szCs w:val="32"/>
        </w:rPr>
        <w:t>主动公开</w:t>
      </w:r>
    </w:p>
    <w:p w14:paraId="042B827D">
      <w:pPr>
        <w:pStyle w:val="5"/>
        <w:widowControl/>
        <w:shd w:val="clear" w:color="auto" w:fill="FDFDFE"/>
        <w:spacing w:before="0" w:beforeAutospacing="0" w:after="0" w:afterAutospacing="0" w:line="560" w:lineRule="exact"/>
        <w:ind w:firstLine="672" w:firstLineChars="200"/>
        <w:rPr>
          <w:rFonts w:eastAsia="仿宋_GB2312"/>
          <w:sz w:val="32"/>
          <w:szCs w:val="32"/>
        </w:rPr>
      </w:pPr>
      <w:r>
        <w:rPr>
          <w:rFonts w:eastAsia="仿宋_GB2312"/>
          <w:spacing w:val="8"/>
          <w:sz w:val="32"/>
          <w:szCs w:val="32"/>
        </w:rPr>
        <w:t>我街道2024年通过信息公开专栏主动公开政府信息167条。“北京花乡”微信公众平台共发布1145篇文章，稿件类型有图文类、视频类、活动类、长图类等。</w:t>
      </w:r>
      <w:r>
        <w:rPr>
          <w:rFonts w:eastAsia="仿宋_GB2312"/>
          <w:kern w:val="2"/>
          <w:sz w:val="32"/>
          <w:szCs w:val="32"/>
        </w:rPr>
        <w:t>推进“花乡街道便民服务中心</w:t>
      </w:r>
      <w:r>
        <w:rPr>
          <w:rFonts w:eastAsia="仿宋_GB2312"/>
          <w:color w:val="000000" w:themeColor="text1"/>
          <w:kern w:val="2"/>
          <w:sz w:val="32"/>
          <w:szCs w:val="32"/>
          <w:lang w:bidi="ar"/>
          <w14:textFill>
            <w14:solidFill>
              <w14:schemeClr w14:val="tx1"/>
            </w14:solidFill>
          </w14:textFill>
        </w:rPr>
        <w:t>”微信公众号建设，依托就业服务群、街道便民服务大厅、社区村就业专栏等渠道及时推送岗位信息。</w:t>
      </w:r>
      <w:r>
        <w:rPr>
          <w:rFonts w:eastAsia="仿宋_GB2312"/>
          <w:sz w:val="32"/>
          <w:szCs w:val="32"/>
        </w:rPr>
        <w:t>截至目前，公众号粉丝量4498人，发布篇数96篇，阅读量33981人次，微信公众号可24小时全天候回复。</w:t>
      </w:r>
    </w:p>
    <w:p w14:paraId="1439A3A5">
      <w:pPr>
        <w:pStyle w:val="5"/>
        <w:widowControl/>
        <w:shd w:val="clear" w:color="auto" w:fill="FDFDFE"/>
        <w:spacing w:before="0" w:beforeAutospacing="0" w:after="0" w:afterAutospacing="0" w:line="560" w:lineRule="exact"/>
        <w:ind w:firstLine="640" w:firstLineChars="200"/>
        <w:rPr>
          <w:rFonts w:eastAsia="仿宋_GB2312"/>
          <w:kern w:val="2"/>
          <w:sz w:val="32"/>
          <w:szCs w:val="32"/>
        </w:rPr>
      </w:pPr>
      <w:r>
        <w:rPr>
          <w:rFonts w:eastAsia="仿宋_GB2312"/>
          <w:kern w:val="2"/>
          <w:sz w:val="32"/>
          <w:szCs w:val="32"/>
        </w:rPr>
        <w:t>遵循区财政部门的指导原则，我们积极履行财政透明度义务，及时、准确地公开了财政预算与决算信息</w:t>
      </w:r>
      <w:r>
        <w:rPr>
          <w:rFonts w:hint="eastAsia" w:eastAsia="仿宋_GB2312"/>
          <w:kern w:val="2"/>
          <w:sz w:val="32"/>
          <w:szCs w:val="32"/>
        </w:rPr>
        <w:t>。</w:t>
      </w:r>
      <w:r>
        <w:rPr>
          <w:rFonts w:eastAsia="仿宋_GB2312"/>
          <w:kern w:val="2"/>
          <w:sz w:val="32"/>
          <w:szCs w:val="32"/>
        </w:rPr>
        <w:t>根据区司法局的具体要求，高度重视执法规范化建设，全面公示了执法检查的相关信息，以便公众监督。此外，积极及时公示低保、特困人员待遇，拓宽救济渠道，确保公众在权益受损时能够迅速找到有效的申诉途径，进一步提升了行政执法的公正性和透明度。</w:t>
      </w:r>
    </w:p>
    <w:p w14:paraId="0247A732">
      <w:pPr>
        <w:pStyle w:val="5"/>
        <w:widowControl/>
        <w:shd w:val="clear" w:color="auto" w:fill="FDFDFE"/>
        <w:spacing w:before="0" w:beforeAutospacing="0" w:after="0" w:afterAutospacing="0" w:line="560" w:lineRule="exact"/>
        <w:ind w:firstLine="640" w:firstLineChars="200"/>
        <w:rPr>
          <w:rFonts w:eastAsia="楷体_GB2312"/>
          <w:color w:val="000000"/>
          <w:sz w:val="32"/>
          <w:szCs w:val="32"/>
        </w:rPr>
      </w:pPr>
      <w:r>
        <w:rPr>
          <w:rFonts w:eastAsia="仿宋_GB2312"/>
          <w:kern w:val="2"/>
          <w:sz w:val="32"/>
          <w:szCs w:val="32"/>
        </w:rPr>
        <w:t>在优化政策咨询服务方面，我们拓宽了政策咨询途径，通过整合12345市民热线资源，为民众搭建起一条畅通无阻的信息获取桥梁。借助花乡街道政务服务大厅等平台，我们为群众提供了直接面对、即时解答的便捷咨询服务，极大地提升了政策咨询的效率和满意度。</w:t>
      </w:r>
    </w:p>
    <w:p w14:paraId="11E5C9C3">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（三）</w:t>
      </w:r>
      <w:r>
        <w:rPr>
          <w:rFonts w:ascii="Times New Roman" w:hAnsi="Times New Roman" w:eastAsia="楷体_GB2312"/>
          <w:color w:val="000000"/>
          <w:sz w:val="32"/>
          <w:szCs w:val="32"/>
        </w:rPr>
        <w:t>依申请公开</w:t>
      </w:r>
    </w:p>
    <w:p w14:paraId="3779F1D8">
      <w:pPr>
        <w:pStyle w:val="2"/>
        <w:spacing w:line="560" w:lineRule="exact"/>
        <w:ind w:firstLine="640" w:firstLineChars="200"/>
        <w:rPr>
          <w:rFonts w:ascii="Times New Roman" w:hAnsi="Times New Roman" w:eastAsia="楷体_GB2312"/>
          <w:color w:val="000000"/>
          <w:sz w:val="32"/>
          <w:szCs w:val="32"/>
        </w:rPr>
      </w:pPr>
      <w:r>
        <w:rPr>
          <w:rFonts w:ascii="Times New Roman" w:hAnsi="Times New Roman" w:eastAsia="仿宋_GB2312"/>
          <w:sz w:val="32"/>
          <w:szCs w:val="32"/>
        </w:rPr>
        <w:t>2024年度花乡街道办事处接到信息公开申请10次，其中10件已办结。</w:t>
      </w:r>
    </w:p>
    <w:p w14:paraId="5C3FB832">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（四）</w:t>
      </w:r>
      <w:r>
        <w:rPr>
          <w:rFonts w:ascii="Times New Roman" w:hAnsi="Times New Roman" w:eastAsia="楷体_GB2312"/>
          <w:color w:val="000000"/>
          <w:sz w:val="32"/>
          <w:szCs w:val="32"/>
        </w:rPr>
        <w:t>政府信息管理</w:t>
      </w:r>
    </w:p>
    <w:p w14:paraId="138A3002">
      <w:pPr>
        <w:pStyle w:val="2"/>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每篇主动公开的信息、公示，我们都严格遵循区政府门户网站的信息发布审批流程，确保经过单位保密员和主管领导的审核签字后，才正式上传至区政府平台。此外，我们还按照既定要求，每月准时报送相关数据，保证公开信息的准确性和透明度。</w:t>
      </w:r>
    </w:p>
    <w:p w14:paraId="37606809">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（五）</w:t>
      </w:r>
      <w:r>
        <w:rPr>
          <w:rFonts w:ascii="Times New Roman" w:hAnsi="Times New Roman" w:eastAsia="楷体_GB2312"/>
          <w:color w:val="000000"/>
          <w:sz w:val="32"/>
          <w:szCs w:val="32"/>
        </w:rPr>
        <w:t>政府信息公开平台建设</w:t>
      </w:r>
    </w:p>
    <w:p w14:paraId="0883FAAA">
      <w:pPr>
        <w:pStyle w:val="2"/>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一是标准化管理政府信息公开的各类平台，确保政务公开全清单得到及时更新。优化政府网站和政务新媒体等</w:t>
      </w:r>
      <w:r>
        <w:rPr>
          <w:rFonts w:hint="eastAsia" w:ascii="Times New Roman" w:hAnsi="Times New Roman" w:eastAsia="仿宋_GB2312"/>
          <w:sz w:val="32"/>
          <w:szCs w:val="32"/>
        </w:rPr>
        <w:t>信息公开</w:t>
      </w:r>
      <w:r>
        <w:rPr>
          <w:rFonts w:ascii="Times New Roman" w:hAnsi="Times New Roman" w:eastAsia="仿宋_GB2312"/>
          <w:sz w:val="32"/>
          <w:szCs w:val="32"/>
        </w:rPr>
        <w:t>渠道，依据政务公开内容及工作动态等类别进行细致划分，旨在最大限度地提升公众获取政府信息的便捷性，确保信息流通顺畅无阻；二是依靠“北京花乡”微信公众号，发布线上招聘会信息，及时公布各类用工需求，共召开3次线下招聘会，2次线上招聘会，发布招聘信息12期，涉及岗位3000余个</w:t>
      </w:r>
      <w:r>
        <w:rPr>
          <w:rFonts w:hint="eastAsia" w:ascii="Times New Roman" w:hAnsi="Times New Roman" w:eastAsia="仿宋_GB2312"/>
          <w:sz w:val="32"/>
          <w:szCs w:val="32"/>
        </w:rPr>
        <w:t>。</w:t>
      </w:r>
      <w:r>
        <w:rPr>
          <w:rFonts w:ascii="Times New Roman" w:hAnsi="Times New Roman" w:eastAsia="仿宋_GB2312"/>
          <w:sz w:val="32"/>
          <w:szCs w:val="32"/>
        </w:rPr>
        <w:t>注重互动反馈，通过设立留言咨询功能，及时解答公众疑问，努力打造“北京花乡”微信公众号成为群众信赖的信息平台；三是强化便民服务中心的信息公开与服务透明度</w:t>
      </w:r>
      <w:r>
        <w:rPr>
          <w:rFonts w:hint="eastAsia" w:ascii="Times New Roman" w:hAnsi="Times New Roman" w:eastAsia="仿宋_GB2312"/>
          <w:sz w:val="32"/>
          <w:szCs w:val="32"/>
        </w:rPr>
        <w:t>。</w:t>
      </w:r>
      <w:r>
        <w:rPr>
          <w:rFonts w:ascii="Times New Roman" w:hAnsi="Times New Roman" w:eastAsia="仿宋_GB2312"/>
          <w:sz w:val="32"/>
          <w:szCs w:val="32"/>
        </w:rPr>
        <w:t>便民服务中心作为政府与公众互动的重要窗口，其政务公开功能的完善对于提升政府形象、增强公众信任具有重要意义。在便民服务中心设立政务公开专区，集中展示政府信息、办事指南、政策解读等内容，方便公众一站式获取所需信息。加快推进政务服务规范化建设，街道政务服务中心累计接听咨询电话10199个，现场接待办事群众13391人次，办理业务18979件，其中，网上受理办结243件。</w:t>
      </w:r>
    </w:p>
    <w:p w14:paraId="4A33F39F">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（六）</w:t>
      </w:r>
      <w:r>
        <w:rPr>
          <w:rFonts w:ascii="Times New Roman" w:hAnsi="Times New Roman" w:eastAsia="楷体_GB2312"/>
          <w:color w:val="000000"/>
          <w:sz w:val="32"/>
          <w:szCs w:val="32"/>
        </w:rPr>
        <w:t>教育培训</w:t>
      </w:r>
    </w:p>
    <w:p w14:paraId="4615E684">
      <w:pPr>
        <w:pStyle w:val="2"/>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2024年花乡街道致力于提升全体工作人员对政务公开工作的认知与技能，积极鼓励每位工作人员为政务公开的发展贡献智慧与创意。为确保政务公开工作的规范执行，我们强化线上与线下相结合的随机自查机制。对于未能及时响应信息公开任务的情况，采取督促措施，并要求进行必要的整改，以确保工作的时效性和质量。</w:t>
      </w:r>
    </w:p>
    <w:p w14:paraId="513921EE">
      <w:pPr>
        <w:pStyle w:val="2"/>
        <w:numPr>
          <w:numId w:val="0"/>
        </w:numPr>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lang w:val="en-US" w:eastAsia="zh-CN"/>
        </w:rPr>
        <w:t>（七）</w:t>
      </w:r>
      <w:r>
        <w:rPr>
          <w:rFonts w:ascii="Times New Roman" w:hAnsi="Times New Roman" w:eastAsia="楷体_GB2312"/>
          <w:color w:val="000000"/>
          <w:sz w:val="32"/>
          <w:szCs w:val="32"/>
        </w:rPr>
        <w:t>监督保障</w:t>
      </w:r>
    </w:p>
    <w:p w14:paraId="17D78859">
      <w:pPr>
        <w:pStyle w:val="2"/>
        <w:spacing w:line="560" w:lineRule="exact"/>
        <w:ind w:firstLine="640" w:firstLineChars="200"/>
        <w:rPr>
          <w:rFonts w:ascii="Times New Roman" w:hAnsi="Times New Roman" w:eastAsia="仿宋_GB2312"/>
          <w:color w:val="000000"/>
          <w:kern w:val="0"/>
          <w:sz w:val="32"/>
          <w:szCs w:val="32"/>
          <w:lang w:bidi="ar"/>
        </w:rPr>
      </w:pPr>
      <w:r>
        <w:rPr>
          <w:rFonts w:ascii="Times New Roman" w:hAnsi="Times New Roman" w:eastAsia="仿宋_GB2312"/>
          <w:color w:val="000000"/>
          <w:kern w:val="0"/>
          <w:sz w:val="32"/>
          <w:szCs w:val="32"/>
          <w:lang w:bidi="ar"/>
        </w:rPr>
        <w:t>为确保政府信息公开工作的透明度、时效性和准确性，花乡街道在过去一年中高度重视监督机制的建立与完善，优化了信息公开的审核流程，实行多级审核制度，确保每一条信息的准确性和合规性。鼓励机关工作人员和居民朋友们积极反映信息公开过程中存在的问题和建议，促进信息公开活动更加稳健且有条不紊地进行。</w:t>
      </w:r>
    </w:p>
    <w:p w14:paraId="42966C7D">
      <w:pPr>
        <w:numPr>
          <w:ilvl w:val="0"/>
          <w:numId w:val="2"/>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主动公开政府信息情况</w:t>
      </w:r>
    </w:p>
    <w:p w14:paraId="1FCCCD0E">
      <w:pPr>
        <w:pStyle w:val="2"/>
      </w:pPr>
    </w:p>
    <w:p w14:paraId="0EE35D2B">
      <w:pPr>
        <w:pStyle w:val="2"/>
      </w:pPr>
    </w:p>
    <w:tbl>
      <w:tblPr>
        <w:tblStyle w:val="7"/>
        <w:tblW w:w="9740" w:type="dxa"/>
        <w:jc w:val="center"/>
        <w:tblLayout w:type="autofit"/>
        <w:tblCellMar>
          <w:top w:w="0" w:type="dxa"/>
          <w:left w:w="0" w:type="dxa"/>
          <w:bottom w:w="0" w:type="dxa"/>
          <w:right w:w="0" w:type="dxa"/>
        </w:tblCellMar>
      </w:tblPr>
      <w:tblGrid>
        <w:gridCol w:w="2435"/>
        <w:gridCol w:w="2435"/>
        <w:gridCol w:w="2435"/>
        <w:gridCol w:w="2435"/>
      </w:tblGrid>
      <w:tr w14:paraId="37B5C67F">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14:paraId="4379EE3F">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14:paraId="695618FE">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538CC748">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14:paraId="5AC60A7E">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14:paraId="7A8D6ED8">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14:paraId="1EE243F7">
            <w:pPr>
              <w:widowControl/>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14:paraId="6B01AA99">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2709C64E">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14:paraId="3D0965BE">
            <w:pPr>
              <w:widowControl/>
              <w:jc w:val="center"/>
              <w:rPr>
                <w:sz w:val="20"/>
                <w:szCs w:val="20"/>
              </w:rPr>
            </w:pPr>
            <w:r>
              <w:rPr>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2C9107D6">
            <w:pPr>
              <w:widowControl/>
              <w:jc w:val="center"/>
              <w:rPr>
                <w:sz w:val="20"/>
                <w:szCs w:val="20"/>
              </w:rPr>
            </w:pPr>
            <w:r>
              <w:rPr>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52E6601A">
            <w:pPr>
              <w:widowControl/>
              <w:jc w:val="center"/>
              <w:rPr>
                <w:sz w:val="20"/>
                <w:szCs w:val="20"/>
              </w:rPr>
            </w:pPr>
            <w:r>
              <w:rPr>
                <w:kern w:val="0"/>
                <w:sz w:val="20"/>
                <w:szCs w:val="20"/>
                <w:lang w:bidi="ar"/>
              </w:rPr>
              <w:t>0</w:t>
            </w:r>
          </w:p>
        </w:tc>
      </w:tr>
      <w:tr w14:paraId="2311CEAA">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39FA91AA">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14:paraId="5CB2F7C1">
            <w:pPr>
              <w:widowControl/>
              <w:jc w:val="center"/>
              <w:rPr>
                <w:sz w:val="20"/>
                <w:szCs w:val="20"/>
              </w:rPr>
            </w:pPr>
            <w:r>
              <w:rPr>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58D78E83">
            <w:pPr>
              <w:widowControl/>
              <w:jc w:val="center"/>
              <w:rPr>
                <w:sz w:val="20"/>
                <w:szCs w:val="20"/>
              </w:rPr>
            </w:pPr>
            <w:r>
              <w:rPr>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14:paraId="60832AE7">
            <w:pPr>
              <w:widowControl/>
              <w:jc w:val="center"/>
              <w:rPr>
                <w:sz w:val="20"/>
                <w:szCs w:val="20"/>
              </w:rPr>
            </w:pPr>
            <w:r>
              <w:rPr>
                <w:kern w:val="0"/>
                <w:sz w:val="20"/>
                <w:szCs w:val="20"/>
                <w:lang w:bidi="ar"/>
              </w:rPr>
              <w:t>0</w:t>
            </w:r>
          </w:p>
        </w:tc>
      </w:tr>
      <w:tr w14:paraId="055F07B1">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14:paraId="7D321510">
            <w:pPr>
              <w:widowControl/>
              <w:jc w:val="center"/>
              <w:rPr>
                <w:sz w:val="20"/>
                <w:szCs w:val="20"/>
              </w:rPr>
            </w:pPr>
            <w:r>
              <w:rPr>
                <w:color w:val="000000"/>
                <w:kern w:val="0"/>
                <w:sz w:val="20"/>
                <w:szCs w:val="20"/>
                <w:lang w:bidi="ar"/>
              </w:rPr>
              <w:t>第二十条第（五）项</w:t>
            </w:r>
          </w:p>
        </w:tc>
      </w:tr>
      <w:tr w14:paraId="447E5081">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29B6D4F6">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14:paraId="6614BC07">
            <w:pPr>
              <w:widowControl/>
              <w:jc w:val="center"/>
              <w:rPr>
                <w:sz w:val="20"/>
                <w:szCs w:val="20"/>
              </w:rPr>
            </w:pPr>
            <w:r>
              <w:rPr>
                <w:color w:val="000000"/>
                <w:kern w:val="0"/>
                <w:sz w:val="20"/>
                <w:szCs w:val="20"/>
                <w:lang w:bidi="ar"/>
              </w:rPr>
              <w:t>本年处理决定数量</w:t>
            </w:r>
          </w:p>
        </w:tc>
      </w:tr>
      <w:tr w14:paraId="109CB908">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3CE33749">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73CCBDDD">
            <w:pPr>
              <w:widowControl/>
              <w:jc w:val="center"/>
              <w:rPr>
                <w:sz w:val="20"/>
                <w:szCs w:val="20"/>
              </w:rPr>
            </w:pPr>
            <w:r>
              <w:rPr>
                <w:kern w:val="0"/>
                <w:sz w:val="20"/>
                <w:szCs w:val="20"/>
                <w:lang w:bidi="ar"/>
              </w:rPr>
              <w:t>0</w:t>
            </w:r>
          </w:p>
        </w:tc>
      </w:tr>
      <w:tr w14:paraId="446761DD">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14:paraId="67731131">
            <w:pPr>
              <w:widowControl/>
              <w:jc w:val="center"/>
              <w:rPr>
                <w:sz w:val="20"/>
                <w:szCs w:val="20"/>
              </w:rPr>
            </w:pPr>
            <w:r>
              <w:rPr>
                <w:color w:val="000000"/>
                <w:kern w:val="0"/>
                <w:sz w:val="20"/>
                <w:szCs w:val="20"/>
                <w:lang w:bidi="ar"/>
              </w:rPr>
              <w:t>第二十条第（六）项</w:t>
            </w:r>
          </w:p>
        </w:tc>
      </w:tr>
      <w:tr w14:paraId="2D1FAD86">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4D2225B0">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14:paraId="320CB8F0">
            <w:pPr>
              <w:widowControl/>
              <w:jc w:val="center"/>
              <w:rPr>
                <w:sz w:val="20"/>
                <w:szCs w:val="20"/>
              </w:rPr>
            </w:pPr>
            <w:r>
              <w:rPr>
                <w:color w:val="000000"/>
                <w:kern w:val="0"/>
                <w:sz w:val="20"/>
                <w:szCs w:val="20"/>
                <w:lang w:bidi="ar"/>
              </w:rPr>
              <w:t>本年处理决定数量</w:t>
            </w:r>
          </w:p>
        </w:tc>
      </w:tr>
      <w:tr w14:paraId="5E80CCE7">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3350BB75">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3B343FCF">
            <w:pPr>
              <w:widowControl/>
              <w:jc w:val="center"/>
              <w:rPr>
                <w:sz w:val="20"/>
                <w:szCs w:val="20"/>
              </w:rPr>
            </w:pPr>
            <w:r>
              <w:rPr>
                <w:color w:val="000000"/>
                <w:kern w:val="0"/>
                <w:sz w:val="20"/>
                <w:szCs w:val="20"/>
                <w:lang w:bidi="ar"/>
              </w:rPr>
              <w:t>1770</w:t>
            </w:r>
          </w:p>
        </w:tc>
      </w:tr>
      <w:tr w14:paraId="0AC04333">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0E41988E">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14:paraId="058642E0">
            <w:pPr>
              <w:widowControl/>
              <w:jc w:val="center"/>
              <w:rPr>
                <w:sz w:val="20"/>
                <w:szCs w:val="20"/>
              </w:rPr>
            </w:pPr>
            <w:r>
              <w:rPr>
                <w:color w:val="000000"/>
                <w:kern w:val="0"/>
                <w:sz w:val="20"/>
                <w:szCs w:val="20"/>
                <w:lang w:bidi="ar"/>
              </w:rPr>
              <w:t>0</w:t>
            </w:r>
          </w:p>
        </w:tc>
      </w:tr>
      <w:tr w14:paraId="57C6D5B2">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14:paraId="0CDEBB5F">
            <w:pPr>
              <w:widowControl/>
              <w:jc w:val="center"/>
              <w:rPr>
                <w:sz w:val="20"/>
                <w:szCs w:val="20"/>
              </w:rPr>
            </w:pPr>
            <w:r>
              <w:rPr>
                <w:color w:val="000000"/>
                <w:kern w:val="0"/>
                <w:sz w:val="20"/>
                <w:szCs w:val="20"/>
                <w:lang w:bidi="ar"/>
              </w:rPr>
              <w:t>第二十条第（八）项</w:t>
            </w:r>
          </w:p>
        </w:tc>
      </w:tr>
      <w:tr w14:paraId="78D56566">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0200F19F">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14:paraId="79422013">
            <w:pPr>
              <w:widowControl/>
              <w:jc w:val="center"/>
              <w:rPr>
                <w:sz w:val="20"/>
                <w:szCs w:val="20"/>
              </w:rPr>
            </w:pPr>
            <w:r>
              <w:rPr>
                <w:color w:val="000000"/>
                <w:kern w:val="0"/>
                <w:sz w:val="20"/>
                <w:szCs w:val="20"/>
                <w:lang w:bidi="ar"/>
              </w:rPr>
              <w:t>本年收费金额（单位：万元）</w:t>
            </w:r>
          </w:p>
        </w:tc>
      </w:tr>
      <w:tr w14:paraId="578A91FE">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2D9FEB93">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14:paraId="6B1D2112">
            <w:pPr>
              <w:jc w:val="center"/>
              <w:rPr>
                <w:sz w:val="20"/>
                <w:szCs w:val="20"/>
              </w:rPr>
            </w:pPr>
            <w:r>
              <w:rPr>
                <w:sz w:val="20"/>
                <w:szCs w:val="20"/>
              </w:rPr>
              <w:t>0</w:t>
            </w:r>
          </w:p>
        </w:tc>
      </w:tr>
    </w:tbl>
    <w:p w14:paraId="7A0FB12F">
      <w:pPr>
        <w:pStyle w:val="2"/>
      </w:pPr>
    </w:p>
    <w:p w14:paraId="470D5834"/>
    <w:p w14:paraId="65FD8DBE"/>
    <w:p w14:paraId="4B339D78">
      <w:pPr>
        <w:numPr>
          <w:ilvl w:val="0"/>
          <w:numId w:val="2"/>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162CF091">
      <w:pPr>
        <w:pStyle w:val="5"/>
        <w:widowControl/>
        <w:shd w:val="clear" w:color="auto" w:fill="FFFFFF"/>
        <w:spacing w:before="0" w:beforeAutospacing="0" w:after="0" w:afterAutospacing="0"/>
        <w:jc w:val="both"/>
        <w:rPr>
          <w:rFonts w:hint="eastAsia" w:ascii="宋体" w:hAnsi="宋体" w:cs="宋体"/>
          <w:color w:val="333333"/>
          <w:szCs w:val="24"/>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14:paraId="7A751C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14:paraId="5515BAB3">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14:paraId="3DA83E91">
            <w:pPr>
              <w:widowControl/>
              <w:jc w:val="center"/>
            </w:pPr>
            <w:r>
              <w:rPr>
                <w:rFonts w:hint="eastAsia" w:ascii="宋体" w:hAnsi="宋体" w:cs="宋体"/>
                <w:kern w:val="0"/>
                <w:sz w:val="20"/>
                <w:szCs w:val="20"/>
                <w:lang w:bidi="ar"/>
              </w:rPr>
              <w:t>申请人情况</w:t>
            </w:r>
          </w:p>
        </w:tc>
      </w:tr>
      <w:tr w14:paraId="7AEB45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14:paraId="79E0279D">
            <w:pPr>
              <w:rPr>
                <w:rFonts w:ascii="宋体"/>
                <w:sz w:val="24"/>
                <w:szCs w:val="24"/>
              </w:rPr>
            </w:pPr>
          </w:p>
        </w:tc>
        <w:tc>
          <w:tcPr>
            <w:tcW w:w="691"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14:paraId="275CA534">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14:paraId="283A7669">
            <w:pPr>
              <w:widowControl/>
              <w:jc w:val="center"/>
            </w:pPr>
            <w:r>
              <w:rPr>
                <w:rFonts w:hint="eastAsia" w:ascii="宋体" w:hAnsi="宋体" w:cs="宋体"/>
                <w:kern w:val="0"/>
                <w:sz w:val="20"/>
                <w:szCs w:val="20"/>
                <w:lang w:bidi="ar"/>
              </w:rPr>
              <w:t>法人或其他组织</w:t>
            </w:r>
          </w:p>
        </w:tc>
        <w:tc>
          <w:tcPr>
            <w:tcW w:w="691"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14:paraId="65DD6EA9">
            <w:pPr>
              <w:widowControl/>
              <w:jc w:val="center"/>
            </w:pPr>
            <w:r>
              <w:rPr>
                <w:rFonts w:hint="eastAsia" w:ascii="宋体" w:hAnsi="宋体" w:cs="宋体"/>
                <w:kern w:val="0"/>
                <w:sz w:val="20"/>
                <w:szCs w:val="20"/>
                <w:lang w:bidi="ar"/>
              </w:rPr>
              <w:t>总计</w:t>
            </w:r>
          </w:p>
        </w:tc>
      </w:tr>
      <w:tr w14:paraId="137F4A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14:paraId="2ED24B7F">
            <w:pPr>
              <w:rPr>
                <w:rFonts w:ascii="宋体"/>
                <w:sz w:val="24"/>
                <w:szCs w:val="24"/>
              </w:rPr>
            </w:pPr>
          </w:p>
        </w:tc>
        <w:tc>
          <w:tcPr>
            <w:tcW w:w="691"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14:paraId="54A72146">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14:paraId="2AB467FA">
            <w:pPr>
              <w:widowControl/>
              <w:jc w:val="center"/>
            </w:pPr>
            <w:r>
              <w:rPr>
                <w:rFonts w:hint="eastAsia" w:ascii="宋体" w:hAnsi="宋体" w:cs="宋体"/>
                <w:kern w:val="0"/>
                <w:sz w:val="20"/>
                <w:szCs w:val="20"/>
                <w:lang w:bidi="ar"/>
              </w:rPr>
              <w:t>商业</w:t>
            </w:r>
          </w:p>
          <w:p w14:paraId="6605AAB9">
            <w:pPr>
              <w:widowControl/>
              <w:jc w:val="center"/>
            </w:pPr>
            <w:r>
              <w:rPr>
                <w:rFonts w:hint="eastAsia" w:ascii="宋体" w:hAnsi="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14:paraId="0273714C">
            <w:pPr>
              <w:widowControl/>
              <w:jc w:val="center"/>
            </w:pPr>
            <w:r>
              <w:rPr>
                <w:rFonts w:hint="eastAsia" w:ascii="宋体" w:hAnsi="宋体" w:cs="宋体"/>
                <w:kern w:val="0"/>
                <w:sz w:val="20"/>
                <w:szCs w:val="20"/>
                <w:lang w:bidi="ar"/>
              </w:rPr>
              <w:t>科研</w:t>
            </w:r>
          </w:p>
          <w:p w14:paraId="21CE2E47">
            <w:pPr>
              <w:widowControl/>
              <w:jc w:val="center"/>
            </w:pPr>
            <w:r>
              <w:rPr>
                <w:rFonts w:hint="eastAsia" w:ascii="宋体" w:hAnsi="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14:paraId="7DD22013">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14:paraId="01257849">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14:paraId="158433E8">
            <w:pPr>
              <w:widowControl/>
              <w:jc w:val="center"/>
            </w:pPr>
            <w:r>
              <w:rPr>
                <w:rFonts w:hint="eastAsia" w:ascii="宋体" w:hAnsi="宋体" w:cs="宋体"/>
                <w:kern w:val="0"/>
                <w:sz w:val="20"/>
                <w:szCs w:val="20"/>
                <w:lang w:bidi="ar"/>
              </w:rPr>
              <w:t>其他</w:t>
            </w:r>
          </w:p>
        </w:tc>
        <w:tc>
          <w:tcPr>
            <w:tcW w:w="691"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14:paraId="0BC80548">
            <w:pPr>
              <w:rPr>
                <w:rFonts w:ascii="宋体"/>
                <w:sz w:val="24"/>
                <w:szCs w:val="24"/>
              </w:rPr>
            </w:pPr>
          </w:p>
        </w:tc>
      </w:tr>
      <w:tr w14:paraId="0E2485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155605D5">
            <w:pPr>
              <w:widowControl/>
              <w:jc w:val="left"/>
            </w:pPr>
            <w:r>
              <w:rPr>
                <w:rFonts w:hint="eastAsia" w:ascii="宋体" w:hAnsi="宋体" w:cs="宋体"/>
                <w:kern w:val="0"/>
                <w:sz w:val="20"/>
                <w:szCs w:val="20"/>
                <w:lang w:bidi="ar"/>
              </w:rPr>
              <w:t>一、本年新收政府信息公开申请数量</w:t>
            </w:r>
          </w:p>
        </w:tc>
        <w:tc>
          <w:tcPr>
            <w:tcW w:w="691" w:type="dxa"/>
            <w:tcBorders>
              <w:top w:val="nil"/>
              <w:left w:val="nil"/>
              <w:bottom w:val="single" w:color="auto" w:sz="8" w:space="0"/>
              <w:right w:val="single" w:color="auto" w:sz="8" w:space="0"/>
            </w:tcBorders>
            <w:tcMar>
              <w:left w:w="57" w:type="dxa"/>
              <w:right w:w="57" w:type="dxa"/>
            </w:tcMar>
            <w:vAlign w:val="center"/>
          </w:tcPr>
          <w:p w14:paraId="202A8540">
            <w:pPr>
              <w:widowControl/>
              <w:jc w:val="center"/>
              <w:rPr>
                <w:sz w:val="20"/>
                <w:szCs w:val="20"/>
              </w:rPr>
            </w:pPr>
            <w:r>
              <w:rPr>
                <w:kern w:val="0"/>
                <w:sz w:val="20"/>
                <w:szCs w:val="20"/>
                <w:lang w:bidi="ar"/>
              </w:rPr>
              <w:t>10</w:t>
            </w:r>
          </w:p>
        </w:tc>
        <w:tc>
          <w:tcPr>
            <w:tcW w:w="688" w:type="dxa"/>
            <w:tcBorders>
              <w:top w:val="nil"/>
              <w:left w:val="nil"/>
              <w:bottom w:val="single" w:color="auto" w:sz="8" w:space="0"/>
              <w:right w:val="single" w:color="auto" w:sz="8" w:space="0"/>
            </w:tcBorders>
            <w:tcMar>
              <w:left w:w="57" w:type="dxa"/>
              <w:right w:w="57" w:type="dxa"/>
            </w:tcMar>
          </w:tcPr>
          <w:p w14:paraId="1A46A14F">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2A7269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180F4C5">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B3AED5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EAFF48B">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2F453C3C">
            <w:pPr>
              <w:widowControl/>
              <w:jc w:val="center"/>
              <w:rPr>
                <w:sz w:val="20"/>
                <w:szCs w:val="20"/>
              </w:rPr>
            </w:pPr>
            <w:r>
              <w:rPr>
                <w:kern w:val="0"/>
                <w:sz w:val="20"/>
                <w:szCs w:val="20"/>
                <w:lang w:bidi="ar"/>
              </w:rPr>
              <w:t>10</w:t>
            </w:r>
          </w:p>
        </w:tc>
      </w:tr>
      <w:tr w14:paraId="31006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2A11AAA7">
            <w:pPr>
              <w:widowControl/>
              <w:jc w:val="left"/>
            </w:pPr>
            <w:r>
              <w:rPr>
                <w:rFonts w:hint="eastAsia" w:ascii="宋体" w:hAnsi="宋体" w:cs="宋体"/>
                <w:kern w:val="0"/>
                <w:sz w:val="20"/>
                <w:szCs w:val="20"/>
                <w:lang w:bidi="ar"/>
              </w:rPr>
              <w:t>二、上年结转政府信息公开申请数量</w:t>
            </w:r>
          </w:p>
        </w:tc>
        <w:tc>
          <w:tcPr>
            <w:tcW w:w="691" w:type="dxa"/>
            <w:tcBorders>
              <w:top w:val="nil"/>
              <w:left w:val="nil"/>
              <w:bottom w:val="single" w:color="auto" w:sz="8" w:space="0"/>
              <w:right w:val="single" w:color="auto" w:sz="8" w:space="0"/>
            </w:tcBorders>
            <w:tcMar>
              <w:left w:w="57" w:type="dxa"/>
              <w:right w:w="57" w:type="dxa"/>
            </w:tcMar>
            <w:vAlign w:val="center"/>
          </w:tcPr>
          <w:p w14:paraId="02CC9B7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E74F30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79D3D3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6429C1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46AAC7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B664A95">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7E4826AB">
            <w:pPr>
              <w:widowControl/>
              <w:jc w:val="center"/>
              <w:rPr>
                <w:sz w:val="20"/>
                <w:szCs w:val="20"/>
              </w:rPr>
            </w:pPr>
            <w:r>
              <w:rPr>
                <w:kern w:val="0"/>
                <w:sz w:val="20"/>
                <w:szCs w:val="20"/>
                <w:lang w:bidi="ar"/>
              </w:rPr>
              <w:t>0</w:t>
            </w:r>
          </w:p>
        </w:tc>
      </w:tr>
      <w:tr w14:paraId="109FD5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77928389">
            <w:pPr>
              <w:widowControl/>
              <w:jc w:val="left"/>
            </w:pPr>
            <w:r>
              <w:rPr>
                <w:rFonts w:hint="eastAsia" w:ascii="宋体" w:hAnsi="宋体" w:cs="宋体"/>
                <w:kern w:val="0"/>
                <w:sz w:val="20"/>
                <w:szCs w:val="20"/>
                <w:lang w:bidi="ar"/>
              </w:rPr>
              <w:t>三、本年度办理结果</w:t>
            </w:r>
          </w:p>
        </w:tc>
        <w:tc>
          <w:tcPr>
            <w:tcW w:w="4160"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14:paraId="4ACD18C1">
            <w:pPr>
              <w:widowControl/>
              <w:jc w:val="left"/>
            </w:pPr>
            <w:r>
              <w:rPr>
                <w:rFonts w:hint="eastAsia" w:ascii="宋体" w:hAnsi="宋体" w:cs="宋体"/>
                <w:kern w:val="0"/>
                <w:sz w:val="20"/>
                <w:szCs w:val="20"/>
                <w:lang w:bidi="ar"/>
              </w:rPr>
              <w:t>（一）予以公开</w:t>
            </w:r>
          </w:p>
        </w:tc>
        <w:tc>
          <w:tcPr>
            <w:tcW w:w="691" w:type="dxa"/>
            <w:tcBorders>
              <w:top w:val="nil"/>
              <w:left w:val="nil"/>
              <w:bottom w:val="single" w:color="auto" w:sz="8" w:space="0"/>
              <w:right w:val="single" w:color="auto" w:sz="8" w:space="0"/>
            </w:tcBorders>
            <w:tcMar>
              <w:left w:w="57" w:type="dxa"/>
              <w:right w:w="57" w:type="dxa"/>
            </w:tcMar>
            <w:vAlign w:val="center"/>
          </w:tcPr>
          <w:p w14:paraId="393B72DD">
            <w:pPr>
              <w:widowControl/>
              <w:jc w:val="center"/>
              <w:rPr>
                <w:sz w:val="20"/>
                <w:szCs w:val="20"/>
              </w:rPr>
            </w:pPr>
            <w:r>
              <w:rPr>
                <w:kern w:val="0"/>
                <w:sz w:val="20"/>
                <w:szCs w:val="20"/>
                <w:lang w:bidi="ar"/>
              </w:rPr>
              <w:t>2</w:t>
            </w:r>
          </w:p>
        </w:tc>
        <w:tc>
          <w:tcPr>
            <w:tcW w:w="688" w:type="dxa"/>
            <w:tcBorders>
              <w:top w:val="nil"/>
              <w:left w:val="nil"/>
              <w:bottom w:val="single" w:color="auto" w:sz="8" w:space="0"/>
              <w:right w:val="single" w:color="auto" w:sz="8" w:space="0"/>
            </w:tcBorders>
            <w:tcMar>
              <w:left w:w="57" w:type="dxa"/>
              <w:right w:w="57" w:type="dxa"/>
            </w:tcMar>
          </w:tcPr>
          <w:p w14:paraId="38B25E74">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DDE5DA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6BAF35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D16CC4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3EA811BE">
            <w:pPr>
              <w:widowControl/>
              <w:jc w:val="center"/>
              <w:rPr>
                <w:sz w:val="20"/>
                <w:szCs w:val="20"/>
              </w:rPr>
            </w:pPr>
            <w:r>
              <w:rPr>
                <w:kern w:val="0"/>
                <w:sz w:val="20"/>
                <w:szCs w:val="20"/>
                <w:lang w:bidi="ar"/>
              </w:rPr>
              <w:t>0</w:t>
            </w:r>
          </w:p>
        </w:tc>
        <w:tc>
          <w:tcPr>
            <w:tcW w:w="691" w:type="dxa"/>
            <w:tcBorders>
              <w:top w:val="single" w:color="auto" w:sz="8" w:space="0"/>
              <w:left w:val="nil"/>
              <w:bottom w:val="single" w:color="auto" w:sz="8" w:space="0"/>
              <w:right w:val="single" w:color="auto" w:sz="8" w:space="0"/>
            </w:tcBorders>
            <w:tcMar>
              <w:left w:w="57" w:type="dxa"/>
              <w:right w:w="57" w:type="dxa"/>
            </w:tcMar>
          </w:tcPr>
          <w:p w14:paraId="50BD7E37">
            <w:pPr>
              <w:widowControl/>
              <w:jc w:val="center"/>
              <w:rPr>
                <w:sz w:val="20"/>
                <w:szCs w:val="20"/>
              </w:rPr>
            </w:pPr>
            <w:r>
              <w:rPr>
                <w:kern w:val="0"/>
                <w:sz w:val="20"/>
                <w:szCs w:val="20"/>
                <w:lang w:bidi="ar"/>
              </w:rPr>
              <w:t>2</w:t>
            </w:r>
          </w:p>
        </w:tc>
      </w:tr>
      <w:tr w14:paraId="5C5E78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5EDA00CC">
            <w:pPr>
              <w:rPr>
                <w:rFonts w:ascii="宋体"/>
                <w:sz w:val="24"/>
                <w:szCs w:val="24"/>
              </w:rPr>
            </w:pPr>
          </w:p>
        </w:tc>
        <w:tc>
          <w:tcPr>
            <w:tcW w:w="4160"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14:paraId="6C5D7E74">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91" w:type="dxa"/>
            <w:tcBorders>
              <w:top w:val="nil"/>
              <w:left w:val="nil"/>
              <w:bottom w:val="single" w:color="auto" w:sz="8" w:space="0"/>
              <w:right w:val="single" w:color="auto" w:sz="8" w:space="0"/>
            </w:tcBorders>
            <w:tcMar>
              <w:left w:w="57" w:type="dxa"/>
              <w:right w:w="57" w:type="dxa"/>
            </w:tcMar>
            <w:vAlign w:val="center"/>
          </w:tcPr>
          <w:p w14:paraId="59C91B01">
            <w:pPr>
              <w:widowControl/>
              <w:jc w:val="center"/>
              <w:rPr>
                <w:sz w:val="20"/>
                <w:szCs w:val="20"/>
              </w:rPr>
            </w:pPr>
            <w:r>
              <w:rPr>
                <w:kern w:val="0"/>
                <w:sz w:val="20"/>
                <w:szCs w:val="20"/>
                <w:lang w:bidi="ar"/>
              </w:rPr>
              <w:t>4</w:t>
            </w:r>
          </w:p>
        </w:tc>
        <w:tc>
          <w:tcPr>
            <w:tcW w:w="688" w:type="dxa"/>
            <w:tcBorders>
              <w:top w:val="nil"/>
              <w:left w:val="nil"/>
              <w:bottom w:val="single" w:color="auto" w:sz="8" w:space="0"/>
              <w:right w:val="single" w:color="auto" w:sz="8" w:space="0"/>
            </w:tcBorders>
            <w:tcMar>
              <w:left w:w="57" w:type="dxa"/>
              <w:right w:w="57" w:type="dxa"/>
            </w:tcMar>
          </w:tcPr>
          <w:p w14:paraId="131DE0B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C43714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25E6B1E">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B40372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990205E">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19368A25">
            <w:pPr>
              <w:widowControl/>
              <w:jc w:val="center"/>
              <w:rPr>
                <w:sz w:val="20"/>
                <w:szCs w:val="20"/>
              </w:rPr>
            </w:pPr>
            <w:r>
              <w:rPr>
                <w:kern w:val="0"/>
                <w:sz w:val="20"/>
                <w:szCs w:val="20"/>
                <w:lang w:bidi="ar"/>
              </w:rPr>
              <w:t>4</w:t>
            </w:r>
          </w:p>
        </w:tc>
      </w:tr>
      <w:tr w14:paraId="431434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2F48200C">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14:paraId="7D0243B9">
            <w:pPr>
              <w:widowControl/>
              <w:jc w:val="left"/>
            </w:pPr>
            <w:r>
              <w:rPr>
                <w:rFonts w:hint="eastAsia" w:ascii="宋体" w:hAnsi="宋体" w:cs="宋体"/>
                <w:kern w:val="0"/>
                <w:sz w:val="20"/>
                <w:szCs w:val="20"/>
                <w:lang w:bidi="ar"/>
              </w:rPr>
              <w:t>（三）不予公开</w:t>
            </w: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AED0877">
            <w:pPr>
              <w:widowControl/>
              <w:jc w:val="left"/>
            </w:pPr>
            <w:r>
              <w:rPr>
                <w:rFonts w:hint="eastAsia" w:ascii="宋体" w:hAnsi="宋体" w:cs="宋体"/>
                <w:kern w:val="0"/>
                <w:sz w:val="20"/>
                <w:szCs w:val="20"/>
                <w:lang w:bidi="ar"/>
              </w:rPr>
              <w:t>1.属于国家秘密</w:t>
            </w:r>
          </w:p>
        </w:tc>
        <w:tc>
          <w:tcPr>
            <w:tcW w:w="691" w:type="dxa"/>
            <w:tcBorders>
              <w:top w:val="nil"/>
              <w:left w:val="nil"/>
              <w:bottom w:val="single" w:color="auto" w:sz="8" w:space="0"/>
              <w:right w:val="single" w:color="auto" w:sz="8" w:space="0"/>
            </w:tcBorders>
            <w:tcMar>
              <w:left w:w="57" w:type="dxa"/>
              <w:right w:w="57" w:type="dxa"/>
            </w:tcMar>
          </w:tcPr>
          <w:p w14:paraId="526AAB9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145FBC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54D8CA0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BCC168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F88657F">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EAAA509">
            <w:pPr>
              <w:widowControl/>
              <w:jc w:val="center"/>
              <w:rPr>
                <w:sz w:val="20"/>
                <w:szCs w:val="20"/>
              </w:rPr>
            </w:pPr>
            <w:r>
              <w:rPr>
                <w:kern w:val="0"/>
                <w:sz w:val="20"/>
                <w:szCs w:val="20"/>
                <w:lang w:bidi="ar"/>
              </w:rPr>
              <w:t>0</w:t>
            </w:r>
          </w:p>
        </w:tc>
        <w:tc>
          <w:tcPr>
            <w:tcW w:w="691" w:type="dxa"/>
            <w:tcBorders>
              <w:top w:val="single" w:color="auto" w:sz="8" w:space="0"/>
              <w:left w:val="nil"/>
              <w:bottom w:val="single" w:color="auto" w:sz="8" w:space="0"/>
              <w:right w:val="single" w:color="auto" w:sz="8" w:space="0"/>
            </w:tcBorders>
            <w:tcMar>
              <w:left w:w="57" w:type="dxa"/>
              <w:right w:w="57" w:type="dxa"/>
            </w:tcMar>
          </w:tcPr>
          <w:p w14:paraId="638A1353">
            <w:pPr>
              <w:widowControl/>
              <w:jc w:val="center"/>
              <w:rPr>
                <w:sz w:val="20"/>
                <w:szCs w:val="20"/>
              </w:rPr>
            </w:pPr>
            <w:r>
              <w:rPr>
                <w:kern w:val="0"/>
                <w:sz w:val="20"/>
                <w:szCs w:val="20"/>
                <w:lang w:bidi="ar"/>
              </w:rPr>
              <w:t>0</w:t>
            </w:r>
          </w:p>
        </w:tc>
      </w:tr>
      <w:tr w14:paraId="2A5B0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793AEB59">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6463A2BA">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D669AE7">
            <w:pPr>
              <w:widowControl/>
              <w:jc w:val="left"/>
            </w:pPr>
            <w:r>
              <w:rPr>
                <w:rFonts w:hint="eastAsia" w:ascii="宋体" w:hAnsi="宋体" w:cs="宋体"/>
                <w:kern w:val="0"/>
                <w:sz w:val="20"/>
                <w:szCs w:val="20"/>
                <w:lang w:bidi="ar"/>
              </w:rPr>
              <w:t>2.其他法律行政法规禁止公开</w:t>
            </w:r>
          </w:p>
        </w:tc>
        <w:tc>
          <w:tcPr>
            <w:tcW w:w="691" w:type="dxa"/>
            <w:tcBorders>
              <w:top w:val="nil"/>
              <w:left w:val="nil"/>
              <w:bottom w:val="single" w:color="auto" w:sz="8" w:space="0"/>
              <w:right w:val="single" w:color="auto" w:sz="8" w:space="0"/>
            </w:tcBorders>
            <w:tcMar>
              <w:left w:w="57" w:type="dxa"/>
              <w:right w:w="57" w:type="dxa"/>
            </w:tcMar>
          </w:tcPr>
          <w:p w14:paraId="445167E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20B2C6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1B278EF">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6D6075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BE3C2D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BB7173C">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3A03442B">
            <w:pPr>
              <w:widowControl/>
              <w:jc w:val="center"/>
              <w:rPr>
                <w:sz w:val="20"/>
                <w:szCs w:val="20"/>
              </w:rPr>
            </w:pPr>
            <w:r>
              <w:rPr>
                <w:kern w:val="0"/>
                <w:sz w:val="20"/>
                <w:szCs w:val="20"/>
                <w:lang w:bidi="ar"/>
              </w:rPr>
              <w:t>0</w:t>
            </w:r>
          </w:p>
        </w:tc>
      </w:tr>
      <w:tr w14:paraId="6CDF94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01B65025">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4A2D4A1F">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46816752">
            <w:pPr>
              <w:widowControl/>
              <w:jc w:val="left"/>
            </w:pPr>
            <w:r>
              <w:rPr>
                <w:rFonts w:hint="eastAsia" w:ascii="宋体" w:hAnsi="宋体" w:cs="宋体"/>
                <w:kern w:val="0"/>
                <w:sz w:val="20"/>
                <w:szCs w:val="20"/>
                <w:lang w:bidi="ar"/>
              </w:rPr>
              <w:t>3.危及“三安全一稳定”</w:t>
            </w:r>
          </w:p>
        </w:tc>
        <w:tc>
          <w:tcPr>
            <w:tcW w:w="691" w:type="dxa"/>
            <w:tcBorders>
              <w:top w:val="nil"/>
              <w:left w:val="nil"/>
              <w:bottom w:val="single" w:color="auto" w:sz="8" w:space="0"/>
              <w:right w:val="single" w:color="auto" w:sz="8" w:space="0"/>
            </w:tcBorders>
            <w:tcMar>
              <w:left w:w="57" w:type="dxa"/>
              <w:right w:w="57" w:type="dxa"/>
            </w:tcMar>
          </w:tcPr>
          <w:p w14:paraId="6D65A06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EC6C98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5B2D6E7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8F2ECBE">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A71335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3CBE721">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406E91E3">
            <w:pPr>
              <w:widowControl/>
              <w:jc w:val="center"/>
              <w:rPr>
                <w:sz w:val="20"/>
                <w:szCs w:val="20"/>
              </w:rPr>
            </w:pPr>
            <w:r>
              <w:rPr>
                <w:kern w:val="0"/>
                <w:sz w:val="20"/>
                <w:szCs w:val="20"/>
                <w:lang w:bidi="ar"/>
              </w:rPr>
              <w:t>0</w:t>
            </w:r>
          </w:p>
        </w:tc>
      </w:tr>
      <w:tr w14:paraId="0C3F2B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584EB13B">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5DF1F9C7">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27081CDD">
            <w:pPr>
              <w:widowControl/>
              <w:jc w:val="left"/>
            </w:pPr>
            <w:r>
              <w:rPr>
                <w:rFonts w:hint="eastAsia" w:ascii="宋体" w:hAnsi="宋体" w:cs="宋体"/>
                <w:kern w:val="0"/>
                <w:sz w:val="20"/>
                <w:szCs w:val="20"/>
                <w:lang w:bidi="ar"/>
              </w:rPr>
              <w:t>4.保护第三方合法权益</w:t>
            </w:r>
          </w:p>
        </w:tc>
        <w:tc>
          <w:tcPr>
            <w:tcW w:w="691" w:type="dxa"/>
            <w:tcBorders>
              <w:top w:val="nil"/>
              <w:left w:val="nil"/>
              <w:bottom w:val="single" w:color="auto" w:sz="8" w:space="0"/>
              <w:right w:val="single" w:color="auto" w:sz="8" w:space="0"/>
            </w:tcBorders>
            <w:tcMar>
              <w:left w:w="57" w:type="dxa"/>
              <w:right w:w="57" w:type="dxa"/>
            </w:tcMar>
          </w:tcPr>
          <w:p w14:paraId="7D480E64">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505D16C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E4095B5">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EBC156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08EB3D1">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D951BC2">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5C56E294">
            <w:pPr>
              <w:widowControl/>
              <w:jc w:val="center"/>
              <w:rPr>
                <w:sz w:val="20"/>
                <w:szCs w:val="20"/>
              </w:rPr>
            </w:pPr>
            <w:r>
              <w:rPr>
                <w:kern w:val="0"/>
                <w:sz w:val="20"/>
                <w:szCs w:val="20"/>
                <w:lang w:bidi="ar"/>
              </w:rPr>
              <w:t>0</w:t>
            </w:r>
          </w:p>
        </w:tc>
      </w:tr>
      <w:tr w14:paraId="3B2575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6E85B722">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1ACF737D">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238E37B0">
            <w:pPr>
              <w:widowControl/>
              <w:jc w:val="left"/>
            </w:pPr>
            <w:r>
              <w:rPr>
                <w:rFonts w:hint="eastAsia" w:ascii="宋体" w:hAnsi="宋体" w:cs="宋体"/>
                <w:kern w:val="0"/>
                <w:sz w:val="20"/>
                <w:szCs w:val="20"/>
                <w:lang w:bidi="ar"/>
              </w:rPr>
              <w:t>5.属于三类内部事务信息</w:t>
            </w:r>
          </w:p>
        </w:tc>
        <w:tc>
          <w:tcPr>
            <w:tcW w:w="691" w:type="dxa"/>
            <w:tcBorders>
              <w:top w:val="nil"/>
              <w:left w:val="nil"/>
              <w:bottom w:val="single" w:color="auto" w:sz="8" w:space="0"/>
              <w:right w:val="single" w:color="auto" w:sz="8" w:space="0"/>
            </w:tcBorders>
            <w:tcMar>
              <w:left w:w="57" w:type="dxa"/>
              <w:right w:w="57" w:type="dxa"/>
            </w:tcMar>
          </w:tcPr>
          <w:p w14:paraId="21FB140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83C607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F4E25E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410D2E0">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476D1F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D629F12">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6B7D25F1">
            <w:pPr>
              <w:widowControl/>
              <w:jc w:val="center"/>
              <w:rPr>
                <w:sz w:val="20"/>
                <w:szCs w:val="20"/>
              </w:rPr>
            </w:pPr>
            <w:r>
              <w:rPr>
                <w:kern w:val="0"/>
                <w:sz w:val="20"/>
                <w:szCs w:val="20"/>
                <w:lang w:bidi="ar"/>
              </w:rPr>
              <w:t>0</w:t>
            </w:r>
          </w:p>
        </w:tc>
      </w:tr>
      <w:tr w14:paraId="0BFFE7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2716BF93">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2EC0303D">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1E0752BA">
            <w:pPr>
              <w:widowControl/>
              <w:jc w:val="left"/>
            </w:pPr>
            <w:r>
              <w:rPr>
                <w:rFonts w:hint="eastAsia" w:ascii="宋体" w:hAnsi="宋体" w:cs="宋体"/>
                <w:kern w:val="0"/>
                <w:sz w:val="20"/>
                <w:szCs w:val="20"/>
                <w:lang w:bidi="ar"/>
              </w:rPr>
              <w:t>6.属于四类过程性信息</w:t>
            </w:r>
          </w:p>
        </w:tc>
        <w:tc>
          <w:tcPr>
            <w:tcW w:w="691" w:type="dxa"/>
            <w:tcBorders>
              <w:top w:val="nil"/>
              <w:left w:val="nil"/>
              <w:bottom w:val="single" w:color="auto" w:sz="8" w:space="0"/>
              <w:right w:val="single" w:color="auto" w:sz="8" w:space="0"/>
            </w:tcBorders>
            <w:tcMar>
              <w:left w:w="57" w:type="dxa"/>
              <w:right w:w="57" w:type="dxa"/>
            </w:tcMar>
          </w:tcPr>
          <w:p w14:paraId="19FD76C0">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BC15AA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3C057C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4F4E261">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19DA90F">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86B8E2C">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613A1336">
            <w:pPr>
              <w:widowControl/>
              <w:jc w:val="center"/>
              <w:rPr>
                <w:sz w:val="20"/>
                <w:szCs w:val="20"/>
              </w:rPr>
            </w:pPr>
            <w:r>
              <w:rPr>
                <w:kern w:val="0"/>
                <w:sz w:val="20"/>
                <w:szCs w:val="20"/>
                <w:lang w:bidi="ar"/>
              </w:rPr>
              <w:t>0</w:t>
            </w:r>
          </w:p>
        </w:tc>
      </w:tr>
      <w:tr w14:paraId="32A533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736757EB">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5EA4D98A">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753A770B">
            <w:pPr>
              <w:widowControl/>
              <w:jc w:val="left"/>
            </w:pPr>
            <w:r>
              <w:rPr>
                <w:rFonts w:hint="eastAsia" w:ascii="宋体" w:hAnsi="宋体" w:cs="宋体"/>
                <w:kern w:val="0"/>
                <w:sz w:val="20"/>
                <w:szCs w:val="20"/>
                <w:lang w:bidi="ar"/>
              </w:rPr>
              <w:t>7.属于行政执法案卷</w:t>
            </w:r>
          </w:p>
        </w:tc>
        <w:tc>
          <w:tcPr>
            <w:tcW w:w="691" w:type="dxa"/>
            <w:tcBorders>
              <w:top w:val="nil"/>
              <w:left w:val="nil"/>
              <w:bottom w:val="single" w:color="auto" w:sz="8" w:space="0"/>
              <w:right w:val="single" w:color="auto" w:sz="8" w:space="0"/>
            </w:tcBorders>
            <w:tcMar>
              <w:left w:w="57" w:type="dxa"/>
              <w:right w:w="57" w:type="dxa"/>
            </w:tcMar>
          </w:tcPr>
          <w:p w14:paraId="5EF5E11F">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9CA537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1F15AC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333FD2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C847760">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0E4680E">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7578B42E">
            <w:pPr>
              <w:widowControl/>
              <w:jc w:val="center"/>
              <w:rPr>
                <w:sz w:val="20"/>
                <w:szCs w:val="20"/>
              </w:rPr>
            </w:pPr>
            <w:r>
              <w:rPr>
                <w:kern w:val="0"/>
                <w:sz w:val="20"/>
                <w:szCs w:val="20"/>
                <w:lang w:bidi="ar"/>
              </w:rPr>
              <w:t>0</w:t>
            </w:r>
          </w:p>
        </w:tc>
      </w:tr>
      <w:tr w14:paraId="6537B5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06B20FCD">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7814D7FA">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2AE8DFA">
            <w:pPr>
              <w:widowControl/>
              <w:jc w:val="left"/>
            </w:pPr>
            <w:r>
              <w:rPr>
                <w:rFonts w:hint="eastAsia" w:ascii="宋体" w:hAnsi="宋体" w:cs="宋体"/>
                <w:kern w:val="0"/>
                <w:sz w:val="20"/>
                <w:szCs w:val="20"/>
                <w:lang w:bidi="ar"/>
              </w:rPr>
              <w:t>8.属于行政查询事项</w:t>
            </w:r>
          </w:p>
        </w:tc>
        <w:tc>
          <w:tcPr>
            <w:tcW w:w="691" w:type="dxa"/>
            <w:tcBorders>
              <w:top w:val="nil"/>
              <w:left w:val="nil"/>
              <w:bottom w:val="single" w:color="auto" w:sz="8" w:space="0"/>
              <w:right w:val="single" w:color="auto" w:sz="8" w:space="0"/>
            </w:tcBorders>
            <w:tcMar>
              <w:left w:w="57" w:type="dxa"/>
              <w:right w:w="57" w:type="dxa"/>
            </w:tcMar>
          </w:tcPr>
          <w:p w14:paraId="0D8988E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0562B5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4CA44A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EB8D1F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35B26D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AEE4F49">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23649869">
            <w:pPr>
              <w:widowControl/>
              <w:jc w:val="center"/>
              <w:rPr>
                <w:sz w:val="20"/>
                <w:szCs w:val="20"/>
              </w:rPr>
            </w:pPr>
            <w:r>
              <w:rPr>
                <w:kern w:val="0"/>
                <w:sz w:val="20"/>
                <w:szCs w:val="20"/>
                <w:lang w:bidi="ar"/>
              </w:rPr>
              <w:t>0</w:t>
            </w:r>
          </w:p>
        </w:tc>
      </w:tr>
      <w:tr w14:paraId="6D4B5C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253738A4">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14:paraId="5284A798">
            <w:pPr>
              <w:widowControl/>
              <w:jc w:val="left"/>
            </w:pPr>
            <w:r>
              <w:rPr>
                <w:rFonts w:hint="eastAsia" w:ascii="宋体" w:hAnsi="宋体" w:cs="宋体"/>
                <w:kern w:val="0"/>
                <w:sz w:val="20"/>
                <w:szCs w:val="20"/>
                <w:lang w:bidi="ar"/>
              </w:rPr>
              <w:t>（四）无法提供</w:t>
            </w: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461E5F04">
            <w:pPr>
              <w:widowControl/>
              <w:jc w:val="left"/>
            </w:pPr>
            <w:r>
              <w:rPr>
                <w:rFonts w:hint="eastAsia" w:ascii="宋体" w:hAnsi="宋体" w:cs="宋体"/>
                <w:kern w:val="0"/>
                <w:sz w:val="20"/>
                <w:szCs w:val="20"/>
                <w:lang w:bidi="ar"/>
              </w:rPr>
              <w:t>1.本机关不掌握相关政府信息</w:t>
            </w:r>
          </w:p>
        </w:tc>
        <w:tc>
          <w:tcPr>
            <w:tcW w:w="691" w:type="dxa"/>
            <w:tcBorders>
              <w:top w:val="nil"/>
              <w:left w:val="nil"/>
              <w:bottom w:val="single" w:color="auto" w:sz="8" w:space="0"/>
              <w:right w:val="single" w:color="auto" w:sz="8" w:space="0"/>
            </w:tcBorders>
            <w:tcMar>
              <w:left w:w="57" w:type="dxa"/>
              <w:right w:w="57" w:type="dxa"/>
            </w:tcMar>
          </w:tcPr>
          <w:p w14:paraId="162FEC68">
            <w:pPr>
              <w:widowControl/>
              <w:jc w:val="center"/>
              <w:rPr>
                <w:sz w:val="20"/>
                <w:szCs w:val="20"/>
              </w:rPr>
            </w:pPr>
            <w:r>
              <w:rPr>
                <w:kern w:val="0"/>
                <w:sz w:val="20"/>
                <w:szCs w:val="20"/>
                <w:lang w:bidi="ar"/>
              </w:rPr>
              <w:t>3</w:t>
            </w:r>
          </w:p>
        </w:tc>
        <w:tc>
          <w:tcPr>
            <w:tcW w:w="688" w:type="dxa"/>
            <w:tcBorders>
              <w:top w:val="nil"/>
              <w:left w:val="nil"/>
              <w:bottom w:val="single" w:color="auto" w:sz="8" w:space="0"/>
              <w:right w:val="single" w:color="auto" w:sz="8" w:space="0"/>
            </w:tcBorders>
            <w:tcMar>
              <w:left w:w="57" w:type="dxa"/>
              <w:right w:w="57" w:type="dxa"/>
            </w:tcMar>
          </w:tcPr>
          <w:p w14:paraId="478CFDF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6F8B33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DFF484E">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585823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DE18CCA">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10E2F12F">
            <w:pPr>
              <w:widowControl/>
              <w:jc w:val="center"/>
              <w:rPr>
                <w:sz w:val="20"/>
                <w:szCs w:val="20"/>
              </w:rPr>
            </w:pPr>
            <w:r>
              <w:rPr>
                <w:kern w:val="0"/>
                <w:sz w:val="20"/>
                <w:szCs w:val="20"/>
                <w:lang w:bidi="ar"/>
              </w:rPr>
              <w:t>3</w:t>
            </w:r>
          </w:p>
        </w:tc>
      </w:tr>
      <w:tr w14:paraId="5988FB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7F307446">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00E9B09F">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20297BBC">
            <w:pPr>
              <w:widowControl/>
              <w:jc w:val="left"/>
            </w:pPr>
            <w:r>
              <w:rPr>
                <w:rFonts w:hint="eastAsia" w:ascii="宋体" w:hAnsi="宋体" w:cs="宋体"/>
                <w:kern w:val="0"/>
                <w:sz w:val="20"/>
                <w:szCs w:val="20"/>
                <w:lang w:bidi="ar"/>
              </w:rPr>
              <w:t>2.没有现成信息需要另行制作</w:t>
            </w:r>
          </w:p>
        </w:tc>
        <w:tc>
          <w:tcPr>
            <w:tcW w:w="691" w:type="dxa"/>
            <w:tcBorders>
              <w:top w:val="nil"/>
              <w:left w:val="nil"/>
              <w:bottom w:val="single" w:color="auto" w:sz="8" w:space="0"/>
              <w:right w:val="single" w:color="auto" w:sz="8" w:space="0"/>
            </w:tcBorders>
            <w:tcMar>
              <w:left w:w="57" w:type="dxa"/>
              <w:right w:w="57" w:type="dxa"/>
            </w:tcMar>
          </w:tcPr>
          <w:p w14:paraId="727CA91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36F11B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707403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C377AA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76988D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6B2E1FE">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379490EF">
            <w:pPr>
              <w:widowControl/>
              <w:jc w:val="center"/>
              <w:rPr>
                <w:sz w:val="20"/>
                <w:szCs w:val="20"/>
              </w:rPr>
            </w:pPr>
            <w:r>
              <w:rPr>
                <w:kern w:val="0"/>
                <w:sz w:val="20"/>
                <w:szCs w:val="20"/>
                <w:lang w:bidi="ar"/>
              </w:rPr>
              <w:t>0</w:t>
            </w:r>
          </w:p>
        </w:tc>
      </w:tr>
      <w:tr w14:paraId="0EF04A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7724BC01">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574D6B26">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0146326">
            <w:pPr>
              <w:widowControl/>
              <w:jc w:val="left"/>
            </w:pPr>
            <w:r>
              <w:rPr>
                <w:rFonts w:hint="eastAsia" w:ascii="宋体" w:hAnsi="宋体" w:cs="宋体"/>
                <w:kern w:val="0"/>
                <w:sz w:val="20"/>
                <w:szCs w:val="20"/>
                <w:lang w:bidi="ar"/>
              </w:rPr>
              <w:t>3.补正后申请内容仍不明确</w:t>
            </w:r>
          </w:p>
        </w:tc>
        <w:tc>
          <w:tcPr>
            <w:tcW w:w="691" w:type="dxa"/>
            <w:tcBorders>
              <w:top w:val="nil"/>
              <w:left w:val="nil"/>
              <w:bottom w:val="single" w:color="auto" w:sz="8" w:space="0"/>
              <w:right w:val="single" w:color="auto" w:sz="8" w:space="0"/>
            </w:tcBorders>
            <w:tcMar>
              <w:left w:w="57" w:type="dxa"/>
              <w:right w:w="57" w:type="dxa"/>
            </w:tcMar>
          </w:tcPr>
          <w:p w14:paraId="392C9A8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F31BC5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213E48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033A181">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7C7B91E">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41572E9">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25E64BA2">
            <w:pPr>
              <w:widowControl/>
              <w:jc w:val="center"/>
              <w:rPr>
                <w:sz w:val="20"/>
                <w:szCs w:val="20"/>
              </w:rPr>
            </w:pPr>
            <w:r>
              <w:rPr>
                <w:kern w:val="0"/>
                <w:sz w:val="20"/>
                <w:szCs w:val="20"/>
                <w:lang w:bidi="ar"/>
              </w:rPr>
              <w:t>0</w:t>
            </w:r>
          </w:p>
        </w:tc>
      </w:tr>
      <w:tr w14:paraId="7DB144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33637FB4">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14:paraId="0B26E2E7">
            <w:pPr>
              <w:widowControl/>
              <w:jc w:val="left"/>
            </w:pPr>
            <w:r>
              <w:rPr>
                <w:rFonts w:hint="eastAsia" w:ascii="宋体" w:hAnsi="宋体" w:cs="宋体"/>
                <w:kern w:val="0"/>
                <w:sz w:val="20"/>
                <w:szCs w:val="20"/>
                <w:lang w:bidi="ar"/>
              </w:rPr>
              <w:t>（五）不予处理</w:t>
            </w: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6DDB6878">
            <w:pPr>
              <w:widowControl/>
              <w:jc w:val="left"/>
            </w:pPr>
            <w:r>
              <w:rPr>
                <w:rFonts w:hint="eastAsia" w:ascii="宋体" w:hAnsi="宋体" w:cs="宋体"/>
                <w:kern w:val="0"/>
                <w:sz w:val="20"/>
                <w:szCs w:val="20"/>
                <w:lang w:bidi="ar"/>
              </w:rPr>
              <w:t>1.信访举报投诉类申请</w:t>
            </w:r>
          </w:p>
        </w:tc>
        <w:tc>
          <w:tcPr>
            <w:tcW w:w="691" w:type="dxa"/>
            <w:tcBorders>
              <w:top w:val="nil"/>
              <w:left w:val="nil"/>
              <w:bottom w:val="single" w:color="auto" w:sz="8" w:space="0"/>
              <w:right w:val="single" w:color="auto" w:sz="8" w:space="0"/>
            </w:tcBorders>
            <w:tcMar>
              <w:left w:w="57" w:type="dxa"/>
              <w:right w:w="57" w:type="dxa"/>
            </w:tcMar>
          </w:tcPr>
          <w:p w14:paraId="1543B86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2064E8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6FEE48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B9239A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53BAAC5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B732674">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4B971299">
            <w:pPr>
              <w:widowControl/>
              <w:jc w:val="center"/>
              <w:rPr>
                <w:sz w:val="20"/>
                <w:szCs w:val="20"/>
              </w:rPr>
            </w:pPr>
            <w:r>
              <w:rPr>
                <w:kern w:val="0"/>
                <w:sz w:val="20"/>
                <w:szCs w:val="20"/>
                <w:lang w:bidi="ar"/>
              </w:rPr>
              <w:t>0</w:t>
            </w:r>
          </w:p>
        </w:tc>
      </w:tr>
      <w:tr w14:paraId="2B7BA1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8" w:hRule="atLeast"/>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14B04361">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49158CD2">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AC8310D">
            <w:pPr>
              <w:widowControl/>
              <w:jc w:val="left"/>
            </w:pPr>
            <w:r>
              <w:rPr>
                <w:rFonts w:hint="eastAsia" w:ascii="宋体" w:hAnsi="宋体" w:cs="宋体"/>
                <w:kern w:val="0"/>
                <w:sz w:val="20"/>
                <w:szCs w:val="20"/>
                <w:lang w:bidi="ar"/>
              </w:rPr>
              <w:t>2.重复申请</w:t>
            </w:r>
          </w:p>
        </w:tc>
        <w:tc>
          <w:tcPr>
            <w:tcW w:w="691" w:type="dxa"/>
            <w:tcBorders>
              <w:top w:val="nil"/>
              <w:left w:val="nil"/>
              <w:bottom w:val="single" w:color="auto" w:sz="8" w:space="0"/>
              <w:right w:val="single" w:color="auto" w:sz="8" w:space="0"/>
            </w:tcBorders>
            <w:tcMar>
              <w:left w:w="57" w:type="dxa"/>
              <w:right w:w="57" w:type="dxa"/>
            </w:tcMar>
          </w:tcPr>
          <w:p w14:paraId="4D0E949E">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3684385">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1F3222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7720E0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D9116E8">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2289F7E">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5B7B7D1D">
            <w:pPr>
              <w:widowControl/>
              <w:jc w:val="center"/>
              <w:rPr>
                <w:sz w:val="20"/>
                <w:szCs w:val="20"/>
              </w:rPr>
            </w:pPr>
            <w:r>
              <w:rPr>
                <w:kern w:val="0"/>
                <w:sz w:val="20"/>
                <w:szCs w:val="20"/>
                <w:lang w:bidi="ar"/>
              </w:rPr>
              <w:t>0</w:t>
            </w:r>
          </w:p>
        </w:tc>
      </w:tr>
      <w:tr w14:paraId="2C4A40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40E79955">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0FF2189D">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55A7047E">
            <w:pPr>
              <w:widowControl/>
              <w:jc w:val="left"/>
            </w:pPr>
            <w:r>
              <w:rPr>
                <w:rFonts w:hint="eastAsia" w:ascii="宋体" w:hAnsi="宋体" w:cs="宋体"/>
                <w:kern w:val="0"/>
                <w:sz w:val="20"/>
                <w:szCs w:val="20"/>
                <w:lang w:bidi="ar"/>
              </w:rPr>
              <w:t>3.要求提供公开出版物</w:t>
            </w:r>
          </w:p>
        </w:tc>
        <w:tc>
          <w:tcPr>
            <w:tcW w:w="691" w:type="dxa"/>
            <w:tcBorders>
              <w:top w:val="nil"/>
              <w:left w:val="nil"/>
              <w:bottom w:val="single" w:color="auto" w:sz="8" w:space="0"/>
              <w:right w:val="single" w:color="auto" w:sz="8" w:space="0"/>
            </w:tcBorders>
            <w:tcMar>
              <w:left w:w="57" w:type="dxa"/>
              <w:right w:w="57" w:type="dxa"/>
            </w:tcMar>
          </w:tcPr>
          <w:p w14:paraId="03643E3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7B3F27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D6A80D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49DCE935">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AEB65D4">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3AE4C1B">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00AA9CB3">
            <w:pPr>
              <w:widowControl/>
              <w:jc w:val="center"/>
              <w:rPr>
                <w:sz w:val="20"/>
                <w:szCs w:val="20"/>
              </w:rPr>
            </w:pPr>
            <w:r>
              <w:rPr>
                <w:kern w:val="0"/>
                <w:sz w:val="20"/>
                <w:szCs w:val="20"/>
                <w:lang w:bidi="ar"/>
              </w:rPr>
              <w:t>0</w:t>
            </w:r>
          </w:p>
        </w:tc>
      </w:tr>
      <w:tr w14:paraId="12A89F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379138BE">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593A988B">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tcPr>
          <w:p w14:paraId="37FAE19E">
            <w:pPr>
              <w:widowControl/>
              <w:jc w:val="left"/>
            </w:pPr>
            <w:r>
              <w:rPr>
                <w:rFonts w:hint="eastAsia" w:ascii="宋体" w:hAnsi="宋体" w:cs="宋体"/>
                <w:kern w:val="0"/>
                <w:sz w:val="20"/>
                <w:szCs w:val="20"/>
                <w:lang w:bidi="ar"/>
              </w:rPr>
              <w:t>4.无正当理由大量反复申请</w:t>
            </w:r>
          </w:p>
        </w:tc>
        <w:tc>
          <w:tcPr>
            <w:tcW w:w="691" w:type="dxa"/>
            <w:tcBorders>
              <w:top w:val="nil"/>
              <w:left w:val="nil"/>
              <w:bottom w:val="single" w:color="auto" w:sz="8" w:space="0"/>
              <w:right w:val="single" w:color="auto" w:sz="8" w:space="0"/>
            </w:tcBorders>
            <w:tcMar>
              <w:left w:w="57" w:type="dxa"/>
              <w:right w:w="57" w:type="dxa"/>
            </w:tcMar>
          </w:tcPr>
          <w:p w14:paraId="2EAE2B10">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AB6D54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3212E8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B01F4A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513E386">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70C33EA">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5A30869A">
            <w:pPr>
              <w:widowControl/>
              <w:jc w:val="center"/>
              <w:rPr>
                <w:sz w:val="20"/>
                <w:szCs w:val="20"/>
              </w:rPr>
            </w:pPr>
            <w:r>
              <w:rPr>
                <w:kern w:val="0"/>
                <w:sz w:val="20"/>
                <w:szCs w:val="20"/>
                <w:lang w:bidi="ar"/>
              </w:rPr>
              <w:t>0</w:t>
            </w:r>
          </w:p>
        </w:tc>
      </w:tr>
      <w:tr w14:paraId="48D9A0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6A02B8F7">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14:paraId="057EC502">
            <w:pPr>
              <w:rPr>
                <w:rFonts w:ascii="宋体"/>
                <w:sz w:val="24"/>
                <w:szCs w:val="24"/>
              </w:rPr>
            </w:pPr>
          </w:p>
        </w:tc>
        <w:tc>
          <w:tcPr>
            <w:tcW w:w="3217" w:type="dxa"/>
            <w:tcBorders>
              <w:top w:val="nil"/>
              <w:left w:val="nil"/>
              <w:bottom w:val="outset" w:color="auto" w:sz="8" w:space="0"/>
              <w:right w:val="single" w:color="auto" w:sz="8" w:space="0"/>
            </w:tcBorders>
            <w:shd w:val="clear" w:color="auto" w:fill="DDEBF7"/>
            <w:tcMar>
              <w:left w:w="57" w:type="dxa"/>
              <w:right w:w="57" w:type="dxa"/>
            </w:tcMar>
            <w:vAlign w:val="center"/>
          </w:tcPr>
          <w:p w14:paraId="6B589911">
            <w:pPr>
              <w:widowControl/>
            </w:pPr>
            <w:r>
              <w:rPr>
                <w:rFonts w:hint="eastAsia" w:ascii="宋体" w:hAnsi="宋体" w:cs="宋体"/>
                <w:kern w:val="0"/>
                <w:sz w:val="20"/>
                <w:szCs w:val="20"/>
                <w:lang w:bidi="ar"/>
              </w:rPr>
              <w:t>5.要求行政机关确认或重新出具已获取信息</w:t>
            </w:r>
          </w:p>
        </w:tc>
        <w:tc>
          <w:tcPr>
            <w:tcW w:w="691" w:type="dxa"/>
            <w:tcBorders>
              <w:top w:val="nil"/>
              <w:left w:val="nil"/>
              <w:bottom w:val="outset" w:color="auto" w:sz="8" w:space="0"/>
              <w:right w:val="single" w:color="auto" w:sz="8" w:space="0"/>
            </w:tcBorders>
            <w:tcMar>
              <w:left w:w="57" w:type="dxa"/>
              <w:right w:w="57" w:type="dxa"/>
            </w:tcMar>
          </w:tcPr>
          <w:p w14:paraId="40F51BFC">
            <w:pPr>
              <w:widowControl/>
              <w:jc w:val="center"/>
              <w:rPr>
                <w:kern w:val="0"/>
                <w:sz w:val="20"/>
                <w:szCs w:val="20"/>
                <w:lang w:bidi="ar"/>
              </w:rPr>
            </w:pPr>
          </w:p>
          <w:p w14:paraId="163F614D">
            <w:pPr>
              <w:widowControl/>
              <w:jc w:val="center"/>
              <w:rPr>
                <w:sz w:val="20"/>
                <w:szCs w:val="20"/>
              </w:rPr>
            </w:pPr>
            <w:r>
              <w:rPr>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14:paraId="188476C8">
            <w:pPr>
              <w:widowControl/>
              <w:jc w:val="center"/>
              <w:rPr>
                <w:kern w:val="0"/>
                <w:sz w:val="20"/>
                <w:szCs w:val="20"/>
                <w:lang w:bidi="ar"/>
              </w:rPr>
            </w:pPr>
          </w:p>
          <w:p w14:paraId="2CCD85CA">
            <w:pPr>
              <w:widowControl/>
              <w:jc w:val="center"/>
              <w:rPr>
                <w:sz w:val="20"/>
                <w:szCs w:val="20"/>
              </w:rPr>
            </w:pPr>
            <w:r>
              <w:rPr>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14:paraId="63925386">
            <w:pPr>
              <w:widowControl/>
              <w:jc w:val="center"/>
              <w:rPr>
                <w:kern w:val="0"/>
                <w:sz w:val="20"/>
                <w:szCs w:val="20"/>
                <w:lang w:bidi="ar"/>
              </w:rPr>
            </w:pPr>
          </w:p>
          <w:p w14:paraId="7F9B1DE8">
            <w:pPr>
              <w:widowControl/>
              <w:jc w:val="center"/>
              <w:rPr>
                <w:sz w:val="20"/>
                <w:szCs w:val="20"/>
              </w:rPr>
            </w:pPr>
            <w:r>
              <w:rPr>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14:paraId="7CD75280">
            <w:pPr>
              <w:widowControl/>
              <w:jc w:val="center"/>
              <w:rPr>
                <w:kern w:val="0"/>
                <w:sz w:val="20"/>
                <w:szCs w:val="20"/>
                <w:lang w:bidi="ar"/>
              </w:rPr>
            </w:pPr>
          </w:p>
          <w:p w14:paraId="6B84F734">
            <w:pPr>
              <w:widowControl/>
              <w:jc w:val="center"/>
              <w:rPr>
                <w:sz w:val="20"/>
                <w:szCs w:val="20"/>
              </w:rPr>
            </w:pPr>
            <w:r>
              <w:rPr>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14:paraId="670C65B9">
            <w:pPr>
              <w:widowControl/>
              <w:jc w:val="center"/>
              <w:rPr>
                <w:kern w:val="0"/>
                <w:sz w:val="20"/>
                <w:szCs w:val="20"/>
                <w:lang w:bidi="ar"/>
              </w:rPr>
            </w:pPr>
          </w:p>
          <w:p w14:paraId="61A75055">
            <w:pPr>
              <w:widowControl/>
              <w:jc w:val="center"/>
              <w:rPr>
                <w:sz w:val="20"/>
                <w:szCs w:val="20"/>
              </w:rPr>
            </w:pPr>
            <w:r>
              <w:rPr>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14:paraId="6AC1BCD2">
            <w:pPr>
              <w:widowControl/>
              <w:jc w:val="center"/>
              <w:rPr>
                <w:kern w:val="0"/>
                <w:sz w:val="20"/>
                <w:szCs w:val="20"/>
                <w:lang w:bidi="ar"/>
              </w:rPr>
            </w:pPr>
          </w:p>
          <w:p w14:paraId="2575AC5E">
            <w:pPr>
              <w:widowControl/>
              <w:jc w:val="center"/>
              <w:rPr>
                <w:sz w:val="20"/>
                <w:szCs w:val="20"/>
              </w:rPr>
            </w:pPr>
            <w:r>
              <w:rPr>
                <w:kern w:val="0"/>
                <w:sz w:val="20"/>
                <w:szCs w:val="20"/>
                <w:lang w:bidi="ar"/>
              </w:rPr>
              <w:t>0</w:t>
            </w:r>
          </w:p>
        </w:tc>
        <w:tc>
          <w:tcPr>
            <w:tcW w:w="691" w:type="dxa"/>
            <w:tcBorders>
              <w:top w:val="nil"/>
              <w:left w:val="nil"/>
              <w:bottom w:val="outset" w:color="auto" w:sz="8" w:space="0"/>
              <w:right w:val="single" w:color="auto" w:sz="8" w:space="0"/>
            </w:tcBorders>
            <w:tcMar>
              <w:left w:w="57" w:type="dxa"/>
              <w:right w:w="57" w:type="dxa"/>
            </w:tcMar>
          </w:tcPr>
          <w:p w14:paraId="2E625117">
            <w:pPr>
              <w:widowControl/>
              <w:jc w:val="center"/>
              <w:rPr>
                <w:kern w:val="0"/>
                <w:sz w:val="20"/>
                <w:szCs w:val="20"/>
                <w:lang w:bidi="ar"/>
              </w:rPr>
            </w:pPr>
          </w:p>
          <w:p w14:paraId="0CCDA903">
            <w:pPr>
              <w:widowControl/>
              <w:jc w:val="center"/>
              <w:rPr>
                <w:sz w:val="20"/>
                <w:szCs w:val="20"/>
              </w:rPr>
            </w:pPr>
            <w:r>
              <w:rPr>
                <w:kern w:val="0"/>
                <w:sz w:val="20"/>
                <w:szCs w:val="20"/>
                <w:lang w:bidi="ar"/>
              </w:rPr>
              <w:t>0</w:t>
            </w:r>
          </w:p>
        </w:tc>
      </w:tr>
      <w:tr w14:paraId="61F955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5FF986BF">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14:paraId="02B33DC9">
            <w:pPr>
              <w:widowControl/>
              <w:jc w:val="left"/>
            </w:pPr>
            <w:r>
              <w:rPr>
                <w:rFonts w:hint="eastAsia" w:ascii="宋体" w:hAnsi="宋体" w:cs="宋体"/>
                <w:kern w:val="0"/>
                <w:sz w:val="20"/>
                <w:szCs w:val="20"/>
                <w:lang w:bidi="ar"/>
              </w:rPr>
              <w:t>（六）其他处理</w:t>
            </w:r>
          </w:p>
        </w:tc>
        <w:tc>
          <w:tcPr>
            <w:tcW w:w="3217" w:type="dxa"/>
            <w:tcBorders>
              <w:top w:val="nil"/>
              <w:left w:val="nil"/>
              <w:bottom w:val="single" w:color="auto" w:sz="8" w:space="0"/>
              <w:right w:val="single" w:color="auto" w:sz="8" w:space="0"/>
            </w:tcBorders>
            <w:shd w:val="clear" w:color="auto" w:fill="DDEBF7"/>
            <w:tcMar>
              <w:left w:w="57" w:type="dxa"/>
              <w:right w:w="57" w:type="dxa"/>
            </w:tcMar>
            <w:vAlign w:val="center"/>
          </w:tcPr>
          <w:p w14:paraId="3155E6D1">
            <w:pPr>
              <w:widowControl/>
            </w:pPr>
            <w:r>
              <w:rPr>
                <w:rFonts w:hint="eastAsia" w:ascii="宋体" w:hAnsi="宋体" w:cs="宋体"/>
                <w:kern w:val="0"/>
                <w:sz w:val="20"/>
                <w:szCs w:val="20"/>
                <w:lang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tcMar>
              <w:left w:w="57" w:type="dxa"/>
              <w:right w:w="57" w:type="dxa"/>
            </w:tcMar>
            <w:vAlign w:val="center"/>
          </w:tcPr>
          <w:p w14:paraId="4784AC81">
            <w:pPr>
              <w:widowControl/>
              <w:jc w:val="center"/>
              <w:rPr>
                <w:sz w:val="20"/>
                <w:szCs w:val="20"/>
              </w:rPr>
            </w:pPr>
            <w:r>
              <w:rPr>
                <w:sz w:val="20"/>
                <w:szCs w:val="20"/>
              </w:rPr>
              <w:t>0</w:t>
            </w:r>
          </w:p>
        </w:tc>
        <w:tc>
          <w:tcPr>
            <w:tcW w:w="688" w:type="dxa"/>
            <w:tcBorders>
              <w:top w:val="nil"/>
              <w:left w:val="nil"/>
              <w:bottom w:val="single" w:color="auto" w:sz="8" w:space="0"/>
              <w:right w:val="single" w:color="auto" w:sz="8" w:space="0"/>
            </w:tcBorders>
            <w:tcMar>
              <w:left w:w="57" w:type="dxa"/>
              <w:right w:w="57" w:type="dxa"/>
            </w:tcMar>
            <w:vAlign w:val="center"/>
          </w:tcPr>
          <w:p w14:paraId="47DAB3C5">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2C2F5D6A">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301F84F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443D19A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70DE34C">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6AD5CD53">
            <w:pPr>
              <w:widowControl/>
              <w:jc w:val="center"/>
              <w:rPr>
                <w:sz w:val="20"/>
                <w:szCs w:val="20"/>
              </w:rPr>
            </w:pPr>
          </w:p>
          <w:p w14:paraId="2732C697">
            <w:pPr>
              <w:widowControl/>
              <w:jc w:val="center"/>
              <w:rPr>
                <w:sz w:val="20"/>
                <w:szCs w:val="20"/>
              </w:rPr>
            </w:pPr>
            <w:r>
              <w:rPr>
                <w:sz w:val="20"/>
                <w:szCs w:val="20"/>
              </w:rPr>
              <w:t>0</w:t>
            </w:r>
          </w:p>
        </w:tc>
      </w:tr>
      <w:tr w14:paraId="6920B2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355DE6ED">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14:paraId="6E70EE2F">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vAlign w:val="center"/>
          </w:tcPr>
          <w:p w14:paraId="7D6E63FA">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tcMar>
              <w:left w:w="57" w:type="dxa"/>
              <w:right w:w="57" w:type="dxa"/>
            </w:tcMar>
            <w:vAlign w:val="center"/>
          </w:tcPr>
          <w:p w14:paraId="0EFE650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5076BD72">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64E9A9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408CE34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7F7E79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14:paraId="7C7C9306">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52214118">
            <w:pPr>
              <w:widowControl/>
              <w:jc w:val="center"/>
              <w:rPr>
                <w:kern w:val="0"/>
                <w:sz w:val="20"/>
                <w:szCs w:val="20"/>
                <w:lang w:bidi="ar"/>
              </w:rPr>
            </w:pPr>
          </w:p>
          <w:p w14:paraId="60CB0F8E">
            <w:pPr>
              <w:widowControl/>
              <w:jc w:val="center"/>
              <w:rPr>
                <w:sz w:val="20"/>
                <w:szCs w:val="20"/>
              </w:rPr>
            </w:pPr>
            <w:r>
              <w:rPr>
                <w:kern w:val="0"/>
                <w:sz w:val="20"/>
                <w:szCs w:val="20"/>
                <w:lang w:bidi="ar"/>
              </w:rPr>
              <w:t>0</w:t>
            </w:r>
          </w:p>
        </w:tc>
      </w:tr>
      <w:tr w14:paraId="241314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26715727">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14:paraId="65294164">
            <w:pPr>
              <w:rPr>
                <w:rFonts w:ascii="宋体"/>
                <w:sz w:val="24"/>
                <w:szCs w:val="24"/>
              </w:rPr>
            </w:pPr>
          </w:p>
        </w:tc>
        <w:tc>
          <w:tcPr>
            <w:tcW w:w="3217" w:type="dxa"/>
            <w:tcBorders>
              <w:top w:val="nil"/>
              <w:left w:val="nil"/>
              <w:bottom w:val="single" w:color="auto" w:sz="8" w:space="0"/>
              <w:right w:val="single" w:color="auto" w:sz="8" w:space="0"/>
            </w:tcBorders>
            <w:shd w:val="clear" w:color="auto" w:fill="DDEBF7"/>
            <w:tcMar>
              <w:left w:w="57" w:type="dxa"/>
              <w:right w:w="57" w:type="dxa"/>
            </w:tcMar>
            <w:vAlign w:val="center"/>
          </w:tcPr>
          <w:p w14:paraId="7ABE8B71">
            <w:pPr>
              <w:widowControl/>
              <w:jc w:val="left"/>
            </w:pPr>
            <w:r>
              <w:rPr>
                <w:rFonts w:hint="eastAsia" w:ascii="宋体" w:hAnsi="宋体" w:cs="宋体"/>
                <w:kern w:val="0"/>
                <w:sz w:val="20"/>
                <w:szCs w:val="20"/>
                <w:lang w:bidi="ar"/>
              </w:rPr>
              <w:t>3.其他</w:t>
            </w:r>
          </w:p>
        </w:tc>
        <w:tc>
          <w:tcPr>
            <w:tcW w:w="691" w:type="dxa"/>
            <w:tcBorders>
              <w:top w:val="nil"/>
              <w:left w:val="nil"/>
              <w:bottom w:val="single" w:color="auto" w:sz="8" w:space="0"/>
              <w:right w:val="single" w:color="auto" w:sz="8" w:space="0"/>
            </w:tcBorders>
            <w:tcMar>
              <w:left w:w="57" w:type="dxa"/>
              <w:right w:w="57" w:type="dxa"/>
            </w:tcMar>
            <w:vAlign w:val="center"/>
          </w:tcPr>
          <w:p w14:paraId="7AF86063">
            <w:pPr>
              <w:widowControl/>
              <w:jc w:val="center"/>
              <w:rPr>
                <w:sz w:val="20"/>
                <w:szCs w:val="20"/>
              </w:rPr>
            </w:pPr>
            <w:r>
              <w:rPr>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tcPr>
          <w:p w14:paraId="2596BD5D">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2EB54F4">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3926E903">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24C5DFCC">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5627686E">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40DE1D33">
            <w:pPr>
              <w:widowControl/>
              <w:jc w:val="center"/>
              <w:rPr>
                <w:sz w:val="20"/>
                <w:szCs w:val="20"/>
              </w:rPr>
            </w:pPr>
            <w:r>
              <w:rPr>
                <w:kern w:val="0"/>
                <w:sz w:val="20"/>
                <w:szCs w:val="20"/>
                <w:lang w:bidi="ar"/>
              </w:rPr>
              <w:t>1</w:t>
            </w:r>
          </w:p>
        </w:tc>
      </w:tr>
      <w:tr w14:paraId="798BFE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14:paraId="0AF9FCB6">
            <w:pPr>
              <w:rPr>
                <w:rFonts w:ascii="宋体"/>
                <w:sz w:val="24"/>
                <w:szCs w:val="24"/>
              </w:rPr>
            </w:pPr>
          </w:p>
        </w:tc>
        <w:tc>
          <w:tcPr>
            <w:tcW w:w="4160"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14:paraId="336076FC">
            <w:pPr>
              <w:widowControl/>
              <w:jc w:val="left"/>
            </w:pPr>
            <w:r>
              <w:rPr>
                <w:rFonts w:hint="eastAsia" w:ascii="宋体" w:hAnsi="宋体" w:cs="宋体"/>
                <w:kern w:val="0"/>
                <w:sz w:val="20"/>
                <w:szCs w:val="20"/>
                <w:lang w:bidi="ar"/>
              </w:rPr>
              <w:t>（七）总计</w:t>
            </w:r>
          </w:p>
        </w:tc>
        <w:tc>
          <w:tcPr>
            <w:tcW w:w="691" w:type="dxa"/>
            <w:tcBorders>
              <w:top w:val="nil"/>
              <w:left w:val="nil"/>
              <w:bottom w:val="single" w:color="auto" w:sz="8" w:space="0"/>
              <w:right w:val="single" w:color="auto" w:sz="8" w:space="0"/>
            </w:tcBorders>
            <w:tcMar>
              <w:left w:w="57" w:type="dxa"/>
              <w:right w:w="57" w:type="dxa"/>
            </w:tcMar>
            <w:vAlign w:val="center"/>
          </w:tcPr>
          <w:p w14:paraId="16C1631D">
            <w:pPr>
              <w:widowControl/>
              <w:jc w:val="center"/>
              <w:rPr>
                <w:sz w:val="20"/>
                <w:szCs w:val="20"/>
              </w:rPr>
            </w:pPr>
            <w:r>
              <w:rPr>
                <w:kern w:val="0"/>
                <w:sz w:val="20"/>
                <w:szCs w:val="20"/>
                <w:lang w:bidi="ar"/>
              </w:rPr>
              <w:t>10</w:t>
            </w:r>
          </w:p>
        </w:tc>
        <w:tc>
          <w:tcPr>
            <w:tcW w:w="688" w:type="dxa"/>
            <w:tcBorders>
              <w:top w:val="nil"/>
              <w:left w:val="nil"/>
              <w:bottom w:val="single" w:color="auto" w:sz="8" w:space="0"/>
              <w:right w:val="single" w:color="auto" w:sz="8" w:space="0"/>
            </w:tcBorders>
            <w:tcMar>
              <w:left w:w="57" w:type="dxa"/>
              <w:right w:w="57" w:type="dxa"/>
            </w:tcMar>
          </w:tcPr>
          <w:p w14:paraId="1404008B">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7895800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1A5D7AD7">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0F3E4BF9">
            <w:pPr>
              <w:widowControl/>
              <w:jc w:val="center"/>
              <w:rPr>
                <w:sz w:val="20"/>
                <w:szCs w:val="20"/>
              </w:rPr>
            </w:pPr>
            <w:r>
              <w:rPr>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14:paraId="63F535F8">
            <w:pPr>
              <w:widowControl/>
              <w:jc w:val="center"/>
              <w:rPr>
                <w:sz w:val="20"/>
                <w:szCs w:val="20"/>
              </w:rPr>
            </w:pPr>
            <w:r>
              <w:rPr>
                <w:kern w:val="0"/>
                <w:sz w:val="20"/>
                <w:szCs w:val="20"/>
                <w:lang w:bidi="ar"/>
              </w:rPr>
              <w:t>0</w:t>
            </w:r>
          </w:p>
        </w:tc>
        <w:tc>
          <w:tcPr>
            <w:tcW w:w="691" w:type="dxa"/>
            <w:tcBorders>
              <w:top w:val="nil"/>
              <w:left w:val="nil"/>
              <w:bottom w:val="single" w:color="auto" w:sz="8" w:space="0"/>
              <w:right w:val="single" w:color="auto" w:sz="8" w:space="0"/>
            </w:tcBorders>
            <w:tcMar>
              <w:left w:w="57" w:type="dxa"/>
              <w:right w:w="57" w:type="dxa"/>
            </w:tcMar>
          </w:tcPr>
          <w:p w14:paraId="512452DE">
            <w:pPr>
              <w:widowControl/>
              <w:jc w:val="center"/>
              <w:rPr>
                <w:sz w:val="20"/>
                <w:szCs w:val="20"/>
              </w:rPr>
            </w:pPr>
            <w:r>
              <w:rPr>
                <w:kern w:val="0"/>
                <w:sz w:val="20"/>
                <w:szCs w:val="20"/>
                <w:lang w:bidi="ar"/>
              </w:rPr>
              <w:t>10</w:t>
            </w:r>
          </w:p>
        </w:tc>
      </w:tr>
      <w:tr w14:paraId="1F38DC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14:paraId="0AAD0F31">
            <w:pPr>
              <w:widowControl/>
              <w:jc w:val="left"/>
            </w:pPr>
            <w:r>
              <w:rPr>
                <w:rFonts w:hint="eastAsia" w:ascii="宋体" w:hAnsi="宋体" w:cs="宋体"/>
                <w:kern w:val="0"/>
                <w:sz w:val="20"/>
                <w:szCs w:val="20"/>
                <w:lang w:bidi="ar"/>
              </w:rPr>
              <w:t>四、结转下年度继续办理</w:t>
            </w:r>
          </w:p>
        </w:tc>
        <w:tc>
          <w:tcPr>
            <w:tcW w:w="0" w:type="auto"/>
            <w:tcBorders>
              <w:top w:val="outset" w:color="auto" w:sz="6" w:space="0"/>
              <w:left w:val="nil"/>
              <w:bottom w:val="outset" w:color="auto" w:sz="6" w:space="0"/>
              <w:right w:val="outset" w:color="auto" w:sz="6" w:space="0"/>
            </w:tcBorders>
            <w:vAlign w:val="center"/>
          </w:tcPr>
          <w:p w14:paraId="2C2C920F">
            <w:pPr>
              <w:jc w:val="center"/>
              <w:rPr>
                <w:sz w:val="20"/>
                <w:szCs w:val="20"/>
              </w:rPr>
            </w:pPr>
            <w:r>
              <w:rPr>
                <w:sz w:val="20"/>
                <w:szCs w:val="20"/>
              </w:rPr>
              <w:t>0</w:t>
            </w:r>
          </w:p>
        </w:tc>
        <w:tc>
          <w:tcPr>
            <w:tcW w:w="0" w:type="auto"/>
            <w:tcBorders>
              <w:top w:val="outset" w:color="auto" w:sz="6" w:space="0"/>
              <w:left w:val="nil"/>
              <w:bottom w:val="outset" w:color="auto" w:sz="6" w:space="0"/>
              <w:right w:val="outset" w:color="auto" w:sz="6" w:space="0"/>
            </w:tcBorders>
          </w:tcPr>
          <w:p w14:paraId="44EC1953">
            <w:pPr>
              <w:widowControl/>
              <w:jc w:val="center"/>
              <w:rPr>
                <w:sz w:val="20"/>
                <w:szCs w:val="20"/>
              </w:rPr>
            </w:pPr>
            <w:r>
              <w:rPr>
                <w:kern w:val="0"/>
                <w:sz w:val="20"/>
                <w:szCs w:val="20"/>
                <w:lang w:bidi="ar"/>
              </w:rPr>
              <w:t>0</w:t>
            </w:r>
          </w:p>
        </w:tc>
        <w:tc>
          <w:tcPr>
            <w:tcW w:w="0" w:type="auto"/>
            <w:tcBorders>
              <w:top w:val="outset" w:color="auto" w:sz="6" w:space="0"/>
              <w:left w:val="nil"/>
              <w:bottom w:val="outset" w:color="auto" w:sz="6" w:space="0"/>
              <w:right w:val="outset" w:color="auto" w:sz="6" w:space="0"/>
            </w:tcBorders>
          </w:tcPr>
          <w:p w14:paraId="309450C2">
            <w:pPr>
              <w:widowControl/>
              <w:jc w:val="center"/>
              <w:rPr>
                <w:sz w:val="20"/>
                <w:szCs w:val="20"/>
              </w:rPr>
            </w:pPr>
            <w:r>
              <w:rPr>
                <w:kern w:val="0"/>
                <w:sz w:val="20"/>
                <w:szCs w:val="20"/>
                <w:lang w:bidi="ar"/>
              </w:rPr>
              <w:t>0</w:t>
            </w:r>
          </w:p>
        </w:tc>
        <w:tc>
          <w:tcPr>
            <w:tcW w:w="0" w:type="auto"/>
            <w:tcBorders>
              <w:top w:val="outset" w:color="auto" w:sz="6" w:space="0"/>
              <w:left w:val="nil"/>
              <w:bottom w:val="outset" w:color="auto" w:sz="6" w:space="0"/>
              <w:right w:val="outset" w:color="auto" w:sz="6" w:space="0"/>
            </w:tcBorders>
          </w:tcPr>
          <w:p w14:paraId="44EAE084">
            <w:pPr>
              <w:widowControl/>
              <w:jc w:val="center"/>
              <w:rPr>
                <w:sz w:val="20"/>
                <w:szCs w:val="20"/>
              </w:rPr>
            </w:pPr>
            <w:r>
              <w:rPr>
                <w:kern w:val="0"/>
                <w:sz w:val="20"/>
                <w:szCs w:val="20"/>
                <w:lang w:bidi="ar"/>
              </w:rPr>
              <w:t>0</w:t>
            </w:r>
          </w:p>
        </w:tc>
        <w:tc>
          <w:tcPr>
            <w:tcW w:w="0" w:type="auto"/>
            <w:tcBorders>
              <w:top w:val="outset" w:color="auto" w:sz="6" w:space="0"/>
              <w:left w:val="nil"/>
              <w:bottom w:val="outset" w:color="auto" w:sz="6" w:space="0"/>
              <w:right w:val="outset" w:color="auto" w:sz="6" w:space="0"/>
            </w:tcBorders>
          </w:tcPr>
          <w:p w14:paraId="01B41115">
            <w:pPr>
              <w:widowControl/>
              <w:jc w:val="center"/>
              <w:rPr>
                <w:sz w:val="20"/>
                <w:szCs w:val="20"/>
              </w:rPr>
            </w:pPr>
            <w:r>
              <w:rPr>
                <w:kern w:val="0"/>
                <w:sz w:val="20"/>
                <w:szCs w:val="20"/>
                <w:lang w:bidi="ar"/>
              </w:rPr>
              <w:t>0</w:t>
            </w:r>
          </w:p>
        </w:tc>
        <w:tc>
          <w:tcPr>
            <w:tcW w:w="688" w:type="dxa"/>
            <w:tcBorders>
              <w:top w:val="outset" w:color="auto" w:sz="6" w:space="0"/>
              <w:left w:val="nil"/>
              <w:bottom w:val="outset" w:color="auto" w:sz="6" w:space="0"/>
              <w:right w:val="outset" w:color="auto" w:sz="6" w:space="0"/>
            </w:tcBorders>
          </w:tcPr>
          <w:p w14:paraId="74000008">
            <w:pPr>
              <w:widowControl/>
              <w:jc w:val="center"/>
              <w:rPr>
                <w:sz w:val="20"/>
                <w:szCs w:val="20"/>
              </w:rPr>
            </w:pPr>
            <w:r>
              <w:rPr>
                <w:kern w:val="0"/>
                <w:sz w:val="20"/>
                <w:szCs w:val="20"/>
                <w:lang w:bidi="ar"/>
              </w:rPr>
              <w:t>0</w:t>
            </w:r>
          </w:p>
        </w:tc>
        <w:tc>
          <w:tcPr>
            <w:tcW w:w="691" w:type="dxa"/>
            <w:tcBorders>
              <w:top w:val="outset" w:color="auto" w:sz="6" w:space="0"/>
              <w:left w:val="nil"/>
              <w:bottom w:val="outset" w:color="auto" w:sz="6" w:space="0"/>
              <w:right w:val="outset" w:color="auto" w:sz="6" w:space="0"/>
            </w:tcBorders>
            <w:vAlign w:val="center"/>
          </w:tcPr>
          <w:p w14:paraId="3F0E35F5">
            <w:pPr>
              <w:jc w:val="center"/>
              <w:rPr>
                <w:sz w:val="20"/>
                <w:szCs w:val="20"/>
              </w:rPr>
            </w:pPr>
            <w:r>
              <w:rPr>
                <w:sz w:val="20"/>
                <w:szCs w:val="20"/>
              </w:rPr>
              <w:t>0</w:t>
            </w:r>
          </w:p>
        </w:tc>
      </w:tr>
    </w:tbl>
    <w:p w14:paraId="63808A00">
      <w:pPr>
        <w:pStyle w:val="2"/>
        <w:ind w:left="420" w:leftChars="200"/>
      </w:pPr>
    </w:p>
    <w:p w14:paraId="553AFF49">
      <w:pPr>
        <w:pStyle w:val="2"/>
        <w:ind w:left="420" w:leftChars="200"/>
      </w:pPr>
    </w:p>
    <w:p w14:paraId="536072D4">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36220AA7">
      <w:pPr>
        <w:widowControl/>
        <w:jc w:val="cente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B6B04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14:paraId="52FF8820">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14:paraId="30161D33">
            <w:pPr>
              <w:widowControl/>
              <w:jc w:val="center"/>
            </w:pPr>
            <w:r>
              <w:rPr>
                <w:rFonts w:hint="eastAsia" w:ascii="宋体" w:hAnsi="宋体" w:cs="宋体"/>
                <w:kern w:val="0"/>
                <w:sz w:val="20"/>
                <w:szCs w:val="20"/>
                <w:lang w:bidi="ar"/>
              </w:rPr>
              <w:t>行政诉讼</w:t>
            </w:r>
          </w:p>
        </w:tc>
      </w:tr>
      <w:tr w14:paraId="578C4B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3A1D759">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2CF4181">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410D957">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56EB286">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2C3A94E">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14:paraId="7742DB04">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14:paraId="5AD925CF">
            <w:pPr>
              <w:widowControl/>
              <w:jc w:val="center"/>
            </w:pPr>
            <w:r>
              <w:rPr>
                <w:rFonts w:hint="eastAsia" w:ascii="宋体" w:hAnsi="宋体" w:cs="宋体"/>
                <w:kern w:val="0"/>
                <w:sz w:val="20"/>
                <w:szCs w:val="20"/>
                <w:lang w:bidi="ar"/>
              </w:rPr>
              <w:t>复议后起诉</w:t>
            </w:r>
          </w:p>
        </w:tc>
      </w:tr>
      <w:tr w14:paraId="4C216E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3C40A8CE">
            <w:pPr>
              <w:rPr>
                <w:rFonts w:ascii="宋体"/>
                <w:sz w:val="24"/>
                <w:szCs w:val="24"/>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1798C912">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B667009">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3E4E177">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EAA3DAF">
            <w:pPr>
              <w:rPr>
                <w:rFonts w:ascii="宋体"/>
                <w:sz w:val="24"/>
                <w:szCs w:val="24"/>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640D7043">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298A6C2">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5425A4F">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D8F7007">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2C98287">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7A1418B">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05C5CCC">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260B5C8">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32A91ED">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2CE386">
            <w:pPr>
              <w:widowControl/>
              <w:jc w:val="center"/>
            </w:pPr>
            <w:r>
              <w:rPr>
                <w:rFonts w:hint="eastAsia" w:ascii="宋体" w:hAnsi="宋体" w:cs="宋体"/>
                <w:color w:val="000000"/>
                <w:kern w:val="0"/>
                <w:sz w:val="20"/>
                <w:szCs w:val="20"/>
                <w:lang w:bidi="ar"/>
              </w:rPr>
              <w:t>总计</w:t>
            </w:r>
          </w:p>
        </w:tc>
      </w:tr>
      <w:tr w14:paraId="7DD1CC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39A7C0D3">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39D27A1">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6F06488B">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5F19DC7A">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E2C2861">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F161F4C">
            <w:pPr>
              <w:widowControl/>
              <w:jc w:val="center"/>
              <w:rPr>
                <w:sz w:val="20"/>
                <w:szCs w:val="20"/>
              </w:rPr>
            </w:pPr>
            <w:r>
              <w:rPr>
                <w:rFonts w:eastAsia="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0EBBB5CD">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523A3171">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1D87B031">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797F101A">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1A99C084">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177B403A">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6E5BB45A">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4F22E53E">
            <w:pPr>
              <w:widowControl/>
              <w:jc w:val="center"/>
              <w:rPr>
                <w:sz w:val="20"/>
                <w:szCs w:val="20"/>
              </w:rPr>
            </w:pPr>
            <w:r>
              <w:rPr>
                <w:rFonts w:eastAsia="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08C161CE">
            <w:pPr>
              <w:jc w:val="center"/>
              <w:rPr>
                <w:sz w:val="20"/>
                <w:szCs w:val="20"/>
              </w:rPr>
            </w:pPr>
            <w:r>
              <w:rPr>
                <w:sz w:val="20"/>
                <w:szCs w:val="20"/>
              </w:rPr>
              <w:t>0</w:t>
            </w:r>
          </w:p>
        </w:tc>
      </w:tr>
    </w:tbl>
    <w:p w14:paraId="74B1E5BE">
      <w:pPr>
        <w:widowControl/>
        <w:jc w:val="left"/>
      </w:pPr>
    </w:p>
    <w:p w14:paraId="67C79026">
      <w:pPr>
        <w:widowControl/>
        <w:spacing w:line="560" w:lineRule="exact"/>
        <w:ind w:firstLine="672" w:firstLineChars="200"/>
        <w:jc w:val="left"/>
        <w:rPr>
          <w:spacing w:val="8"/>
          <w:kern w:val="0"/>
          <w:sz w:val="24"/>
        </w:rPr>
      </w:pPr>
      <w:r>
        <w:rPr>
          <w:rFonts w:eastAsia="黑体"/>
          <w:spacing w:val="8"/>
          <w:kern w:val="0"/>
          <w:sz w:val="32"/>
          <w:szCs w:val="32"/>
        </w:rPr>
        <w:t>五、存在的主要问题及改进情况</w:t>
      </w:r>
    </w:p>
    <w:p w14:paraId="6DF1F1D2">
      <w:pPr>
        <w:pStyle w:val="2"/>
        <w:numPr>
          <w:numId w:val="0"/>
        </w:numPr>
        <w:spacing w:line="560" w:lineRule="exact"/>
        <w:ind w:firstLine="672"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8"/>
          <w:kern w:val="0"/>
          <w:sz w:val="32"/>
          <w:szCs w:val="32"/>
          <w:lang w:eastAsia="zh-CN"/>
        </w:rPr>
        <w:t>（</w:t>
      </w:r>
      <w:r>
        <w:rPr>
          <w:rFonts w:hint="eastAsia" w:ascii="楷体_GB2312" w:hAnsi="楷体_GB2312" w:eastAsia="楷体_GB2312" w:cs="楷体_GB2312"/>
          <w:spacing w:val="8"/>
          <w:kern w:val="0"/>
          <w:sz w:val="32"/>
          <w:szCs w:val="32"/>
          <w:lang w:val="en-US" w:eastAsia="zh-CN"/>
        </w:rPr>
        <w:t>一）</w:t>
      </w:r>
      <w:r>
        <w:rPr>
          <w:rFonts w:hint="eastAsia" w:ascii="楷体_GB2312" w:hAnsi="楷体_GB2312" w:eastAsia="楷体_GB2312" w:cs="楷体_GB2312"/>
          <w:spacing w:val="8"/>
          <w:kern w:val="0"/>
          <w:sz w:val="32"/>
          <w:szCs w:val="32"/>
        </w:rPr>
        <w:t>主要问题</w:t>
      </w:r>
    </w:p>
    <w:p w14:paraId="75D6F454">
      <w:pPr>
        <w:widowControl/>
        <w:spacing w:line="560" w:lineRule="exact"/>
        <w:ind w:firstLine="640" w:firstLineChars="200"/>
        <w:jc w:val="left"/>
        <w:rPr>
          <w:rFonts w:eastAsia="仿宋_GB2312"/>
          <w:kern w:val="0"/>
          <w:sz w:val="32"/>
          <w:szCs w:val="32"/>
        </w:rPr>
      </w:pPr>
      <w:r>
        <w:rPr>
          <w:rFonts w:eastAsia="仿宋_GB2312"/>
          <w:kern w:val="0"/>
          <w:sz w:val="32"/>
          <w:szCs w:val="32"/>
        </w:rPr>
        <w:t>一是学习宣传不足，对《中华人民共和国政府信息公开条例》等相关法规制度的学习宣传力度不够，导致工作人员对信息公开的范围、方式、程序等把握不准，影响了信息公开的质量和效果；二是政府信息公开的时效性不够，存在信息更新滞后的情况，一些工作动态、政策法规等信息不能及时发布，导致公众获取的信息不够新鲜、准确，影响了政府信息公开的公信力。</w:t>
      </w:r>
    </w:p>
    <w:p w14:paraId="52684236">
      <w:pPr>
        <w:pStyle w:val="2"/>
        <w:numPr>
          <w:numId w:val="0"/>
        </w:numPr>
        <w:spacing w:line="560" w:lineRule="exact"/>
        <w:ind w:firstLine="672" w:firstLineChars="200"/>
        <w:rPr>
          <w:rFonts w:ascii="Times New Roman" w:hAnsi="Times New Roman" w:eastAsia="楷体_GB2312"/>
          <w:spacing w:val="8"/>
          <w:kern w:val="0"/>
          <w:sz w:val="32"/>
          <w:szCs w:val="32"/>
        </w:rPr>
      </w:pPr>
      <w:r>
        <w:rPr>
          <w:rFonts w:hint="eastAsia" w:ascii="楷体_GB2312" w:hAnsi="楷体_GB2312" w:eastAsia="楷体_GB2312" w:cs="楷体_GB2312"/>
          <w:spacing w:val="8"/>
          <w:kern w:val="0"/>
          <w:sz w:val="32"/>
          <w:szCs w:val="32"/>
          <w:lang w:eastAsia="zh-CN"/>
        </w:rPr>
        <w:t>（</w:t>
      </w:r>
      <w:r>
        <w:rPr>
          <w:rFonts w:hint="eastAsia" w:ascii="楷体_GB2312" w:hAnsi="楷体_GB2312" w:eastAsia="楷体_GB2312" w:cs="楷体_GB2312"/>
          <w:spacing w:val="8"/>
          <w:kern w:val="0"/>
          <w:sz w:val="32"/>
          <w:szCs w:val="32"/>
          <w:lang w:val="en-US" w:eastAsia="zh-CN"/>
        </w:rPr>
        <w:t>二）</w:t>
      </w:r>
      <w:r>
        <w:rPr>
          <w:rFonts w:ascii="Times New Roman" w:hAnsi="Times New Roman" w:eastAsia="楷体_GB2312"/>
          <w:spacing w:val="8"/>
          <w:kern w:val="0"/>
          <w:sz w:val="32"/>
          <w:szCs w:val="32"/>
        </w:rPr>
        <w:t>改进情况</w:t>
      </w:r>
    </w:p>
    <w:p w14:paraId="04C0E9A9">
      <w:pPr>
        <w:widowControl/>
        <w:spacing w:line="560" w:lineRule="exact"/>
        <w:ind w:firstLine="640" w:firstLineChars="200"/>
        <w:jc w:val="left"/>
        <w:rPr>
          <w:rFonts w:eastAsia="仿宋_GB2312"/>
          <w:kern w:val="0"/>
          <w:sz w:val="32"/>
          <w:szCs w:val="32"/>
        </w:rPr>
      </w:pPr>
      <w:r>
        <w:rPr>
          <w:rFonts w:eastAsia="仿宋_GB2312"/>
          <w:kern w:val="0"/>
          <w:sz w:val="32"/>
          <w:szCs w:val="32"/>
        </w:rPr>
        <w:t>一是通过分享政府信息公开的成功案例和失败教训，组织相关工作人员进行讨论和交流，加深对信息公开实践的理解和认识；二是定期对政府信息公开工作进行评估，收集机关工作人员的反馈意见，及时发现并纠正问题，不断完善信息公开工作机制和流程；三是强化政府信息公开工作人员对时效性的认识，及时、准确地公开政府信息是保障公众知情权、参与权和监督权的重要基础，必须时刻关注信息的更新和发布，确保公众能够及时获取到最新、最准确的信息。</w:t>
      </w:r>
    </w:p>
    <w:p w14:paraId="77D0BC47">
      <w:pPr>
        <w:widowControl/>
        <w:spacing w:line="560" w:lineRule="exact"/>
        <w:ind w:firstLine="672" w:firstLineChars="200"/>
        <w:jc w:val="left"/>
        <w:rPr>
          <w:spacing w:val="8"/>
          <w:kern w:val="0"/>
          <w:sz w:val="32"/>
          <w:szCs w:val="32"/>
        </w:rPr>
      </w:pPr>
      <w:bookmarkStart w:id="0" w:name="_GoBack"/>
      <w:r>
        <w:rPr>
          <w:rFonts w:eastAsia="黑体"/>
          <w:spacing w:val="8"/>
          <w:kern w:val="0"/>
          <w:sz w:val="32"/>
          <w:szCs w:val="32"/>
        </w:rPr>
        <w:t>六、其他需要报告的事项</w:t>
      </w:r>
    </w:p>
    <w:p w14:paraId="1DD3DF5D">
      <w:pPr>
        <w:widowControl/>
        <w:spacing w:line="560" w:lineRule="exact"/>
        <w:ind w:firstLine="640" w:firstLineChars="200"/>
        <w:jc w:val="left"/>
        <w:rPr>
          <w:rFonts w:eastAsia="仿宋_GB2312"/>
          <w:color w:val="9BC2E6"/>
          <w:spacing w:val="8"/>
          <w:kern w:val="0"/>
          <w:sz w:val="32"/>
          <w:szCs w:val="32"/>
        </w:rPr>
      </w:pPr>
      <w:r>
        <w:rPr>
          <w:rFonts w:eastAsia="仿宋_GB2312"/>
          <w:kern w:val="0"/>
          <w:sz w:val="32"/>
          <w:szCs w:val="32"/>
        </w:rPr>
        <w:t>发出收费通知的件数和总金额以及实际收取的总金额均为0。</w:t>
      </w:r>
    </w:p>
    <w:p w14:paraId="642CB818">
      <w:pPr>
        <w:pStyle w:val="2"/>
        <w:spacing w:line="560" w:lineRule="exact"/>
        <w:ind w:firstLine="640" w:firstLineChars="200"/>
        <w:rPr>
          <w:rFonts w:ascii="Times New Roman" w:hAnsi="Times New Roman"/>
        </w:rPr>
      </w:pPr>
      <w:r>
        <w:rPr>
          <w:rFonts w:ascii="Times New Roman" w:hAnsi="Times New Roman" w:eastAsia="微软雅黑"/>
          <w:color w:val="404040"/>
          <w:kern w:val="0"/>
          <w:sz w:val="32"/>
          <w:szCs w:val="32"/>
        </w:rPr>
        <w:t xml:space="preserve"> </w:t>
      </w:r>
    </w:p>
    <w:bookmarkEnd w:id="0"/>
    <w:p w14:paraId="229F4B3C">
      <w:pPr>
        <w:pStyle w:val="2"/>
        <w:spacing w:line="560" w:lineRule="exact"/>
        <w:ind w:firstLine="420" w:firstLineChars="200"/>
        <w:rPr>
          <w:rFonts w:ascii="Times New Roman" w:hAnsi="Times New Roman"/>
        </w:rPr>
      </w:pPr>
    </w:p>
    <w:p w14:paraId="54160075">
      <w:pPr>
        <w:pStyle w:val="2"/>
        <w:spacing w:line="560" w:lineRule="exact"/>
        <w:ind w:firstLine="420" w:firstLineChars="200"/>
        <w:rPr>
          <w:rFonts w:ascii="Times New Roman" w:hAnsi="Times New Roman"/>
        </w:rPr>
      </w:pPr>
    </w:p>
    <w:p w14:paraId="6B1C632A">
      <w:pPr>
        <w:spacing w:line="560" w:lineRule="exact"/>
        <w:ind w:firstLine="640" w:firstLineChars="200"/>
        <w:rPr>
          <w:rFonts w:eastAsia="黑体"/>
          <w:color w:val="000000"/>
          <w:sz w:val="32"/>
          <w:szCs w:val="32"/>
        </w:rPr>
      </w:pPr>
    </w:p>
    <w:p w14:paraId="3B153A38">
      <w:pPr>
        <w:spacing w:line="560" w:lineRule="exact"/>
        <w:ind w:firstLine="640" w:firstLineChars="200"/>
        <w:rPr>
          <w:rFonts w:eastAsia="黑体"/>
          <w:color w:val="000000"/>
          <w:sz w:val="32"/>
          <w:szCs w:val="32"/>
        </w:rPr>
      </w:pPr>
    </w:p>
    <w:p w14:paraId="386748D7">
      <w:pPr>
        <w:spacing w:line="560" w:lineRule="exact"/>
        <w:ind w:firstLine="640" w:firstLineChars="200"/>
        <w:rPr>
          <w:rFonts w:eastAsia="黑体"/>
          <w:color w:val="000000"/>
          <w:sz w:val="32"/>
          <w:szCs w:val="32"/>
        </w:rPr>
      </w:pPr>
    </w:p>
    <w:p w14:paraId="6D62396B">
      <w:pPr>
        <w:pStyle w:val="2"/>
        <w:spacing w:line="560" w:lineRule="exact"/>
        <w:ind w:firstLine="640" w:firstLineChars="200"/>
        <w:rPr>
          <w:rFonts w:ascii="Times New Roman" w:hAnsi="Times New Roman" w:eastAsia="黑体"/>
          <w:color w:val="000000"/>
          <w:sz w:val="32"/>
          <w:szCs w:val="32"/>
        </w:rPr>
      </w:pPr>
    </w:p>
    <w:p w14:paraId="6C41AB7D">
      <w:pPr>
        <w:pStyle w:val="2"/>
        <w:spacing w:line="560" w:lineRule="exact"/>
        <w:ind w:firstLine="640" w:firstLineChars="200"/>
        <w:rPr>
          <w:rFonts w:ascii="Times New Roman" w:hAnsi="Times New Roman" w:eastAsia="黑体"/>
          <w:color w:val="000000"/>
          <w:sz w:val="32"/>
          <w:szCs w:val="32"/>
        </w:rPr>
      </w:pPr>
    </w:p>
    <w:p w14:paraId="2E5CD0B9">
      <w:pPr>
        <w:spacing w:line="560" w:lineRule="exact"/>
        <w:ind w:firstLine="640" w:firstLineChars="200"/>
        <w:rPr>
          <w:rFonts w:eastAsia="黑体"/>
          <w:color w:val="000000"/>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abstractNum w:abstractNumId="1">
    <w:nsid w:val="31826B91"/>
    <w:multiLevelType w:val="singleLevel"/>
    <w:tmpl w:val="31826B9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61353A"/>
    <w:rsid w:val="00C3106B"/>
    <w:rsid w:val="00C40109"/>
    <w:rsid w:val="0B52732F"/>
    <w:rsid w:val="0E5E0E21"/>
    <w:rsid w:val="35950AA9"/>
    <w:rsid w:val="56D03923"/>
    <w:rsid w:val="5C87555C"/>
    <w:rsid w:val="61FC300A"/>
    <w:rsid w:val="63D919B7"/>
    <w:rsid w:val="65205C7E"/>
    <w:rsid w:val="6E78714C"/>
    <w:rsid w:val="737B0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annotation text"/>
    <w:basedOn w:val="1"/>
    <w:link w:val="11"/>
    <w:qFormat/>
    <w:uiPriority w:val="0"/>
    <w:pPr>
      <w:jc w:val="left"/>
    </w:pPr>
  </w:style>
  <w:style w:type="paragraph" w:styleId="4">
    <w:name w:val="Body Text"/>
    <w:basedOn w:val="1"/>
    <w:next w:val="1"/>
    <w:qFormat/>
    <w:uiPriority w:val="0"/>
    <w:pPr>
      <w:spacing w:line="600" w:lineRule="exact"/>
    </w:pPr>
    <w:rPr>
      <w:sz w:val="28"/>
    </w:rPr>
  </w:style>
  <w:style w:type="paragraph" w:styleId="5">
    <w:name w:val="Normal (Web)"/>
    <w:basedOn w:val="1"/>
    <w:qFormat/>
    <w:uiPriority w:val="99"/>
    <w:pPr>
      <w:spacing w:before="100" w:beforeAutospacing="1" w:after="100" w:afterAutospacing="1"/>
      <w:jc w:val="left"/>
    </w:pPr>
    <w:rPr>
      <w:kern w:val="0"/>
      <w:sz w:val="24"/>
    </w:rPr>
  </w:style>
  <w:style w:type="paragraph" w:styleId="6">
    <w:name w:val="annotation subject"/>
    <w:basedOn w:val="3"/>
    <w:next w:val="3"/>
    <w:link w:val="12"/>
    <w:qFormat/>
    <w:uiPriority w:val="0"/>
    <w:rPr>
      <w:b/>
      <w:bCs/>
    </w:rPr>
  </w:style>
  <w:style w:type="character" w:styleId="9">
    <w:name w:val="annotation reference"/>
    <w:basedOn w:val="8"/>
    <w:qFormat/>
    <w:uiPriority w:val="0"/>
    <w:rPr>
      <w:sz w:val="21"/>
      <w:szCs w:val="21"/>
    </w:rPr>
  </w:style>
  <w:style w:type="paragraph" w:styleId="10">
    <w:name w:val="List Paragraph"/>
    <w:basedOn w:val="1"/>
    <w:qFormat/>
    <w:uiPriority w:val="34"/>
    <w:pPr>
      <w:ind w:firstLine="420" w:firstLineChars="200"/>
    </w:pPr>
  </w:style>
  <w:style w:type="character" w:customStyle="1" w:styleId="11">
    <w:name w:val="批注文字 字符"/>
    <w:basedOn w:val="8"/>
    <w:link w:val="3"/>
    <w:qFormat/>
    <w:uiPriority w:val="0"/>
    <w:rPr>
      <w:kern w:val="2"/>
      <w:sz w:val="21"/>
      <w:szCs w:val="22"/>
    </w:rPr>
  </w:style>
  <w:style w:type="character" w:customStyle="1" w:styleId="12">
    <w:name w:val="批注主题 字符"/>
    <w:basedOn w:val="11"/>
    <w:link w:val="6"/>
    <w:qFormat/>
    <w:uiPriority w:val="0"/>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2489</Words>
  <Characters>2571</Characters>
  <Lines>24</Lines>
  <Paragraphs>6</Paragraphs>
  <TotalTime>12</TotalTime>
  <ScaleCrop>false</ScaleCrop>
  <LinksUpToDate>false</LinksUpToDate>
  <CharactersWithSpaces>2574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冯佳蕾</cp:lastModifiedBy>
  <cp:lastPrinted>2025-01-14T01:50:00Z</cp:lastPrinted>
  <dcterms:modified xsi:type="dcterms:W3CDTF">2025-01-23T08:42:23Z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9BF378DBDA7D456CB0B1E3E7583F9600_13</vt:lpwstr>
  </property>
  <property fmtid="{D5CDD505-2E9C-101B-9397-08002B2CF9AE}" pid="4" name="KSOTemplateDocerSaveRecord">
    <vt:lpwstr>eyJoZGlkIjoiMTY2NTc3MDc5MTNjNzZkODg4YjAxMTZlM2E3MGNhNmUiLCJ1c2VySWQiOiIxNjc0MDE3NzQyIn0=</vt:lpwstr>
  </property>
</Properties>
</file>