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85A9B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kern w:val="0"/>
          <w:sz w:val="44"/>
          <w:szCs w:val="44"/>
          <w:u w:val="none"/>
          <w:shd w:val="clear" w:fill="FFFFFF"/>
          <w:lang w:val="en-US" w:eastAsia="zh-CN" w:bidi="ar"/>
        </w:rPr>
      </w:pPr>
      <w:r>
        <w:rPr>
          <w:rFonts w:hint="eastAsia" w:ascii="方正小标宋简体" w:hAnsi="方正小标宋简体" w:eastAsia="方正小标宋简体" w:cs="方正小标宋简体"/>
          <w:i w:val="0"/>
          <w:iCs w:val="0"/>
          <w:caps w:val="0"/>
          <w:color w:val="333333"/>
          <w:spacing w:val="0"/>
          <w:kern w:val="0"/>
          <w:sz w:val="44"/>
          <w:szCs w:val="44"/>
          <w:u w:val="none"/>
          <w:shd w:val="clear" w:fill="FFFFFF"/>
          <w:lang w:val="en-US" w:eastAsia="zh-CN" w:bidi="ar"/>
        </w:rPr>
        <w:t>北京市丰台区玉泉营街道办事处</w:t>
      </w:r>
    </w:p>
    <w:p w14:paraId="40E6FC99">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kern w:val="0"/>
          <w:sz w:val="44"/>
          <w:szCs w:val="44"/>
          <w:u w:val="none"/>
          <w:shd w:val="clear" w:fill="FFFFFF"/>
          <w:lang w:val="en-US" w:eastAsia="zh-CN" w:bidi="ar"/>
        </w:rPr>
      </w:pPr>
      <w:r>
        <w:rPr>
          <w:rFonts w:hint="eastAsia" w:ascii="方正小标宋简体" w:hAnsi="方正小标宋简体" w:eastAsia="方正小标宋简体" w:cs="方正小标宋简体"/>
          <w:i w:val="0"/>
          <w:iCs w:val="0"/>
          <w:caps w:val="0"/>
          <w:color w:val="333333"/>
          <w:spacing w:val="0"/>
          <w:kern w:val="0"/>
          <w:sz w:val="44"/>
          <w:szCs w:val="44"/>
          <w:u w:val="none"/>
          <w:shd w:val="clear" w:fill="FFFFFF"/>
          <w:lang w:val="en-US" w:eastAsia="zh-CN" w:bidi="ar"/>
        </w:rPr>
        <w:t>2024年政府信息公开工作年度报告</w:t>
      </w:r>
    </w:p>
    <w:p w14:paraId="65E5B23D">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600" w:lineRule="exact"/>
        <w:ind w:left="0" w:right="0" w:firstLine="0"/>
        <w:jc w:val="center"/>
        <w:textAlignment w:val="auto"/>
        <w:rPr>
          <w:rFonts w:hint="eastAsia" w:ascii="方正小标宋简体" w:hAnsi="方正小标宋简体" w:eastAsia="方正小标宋简体" w:cs="方正小标宋简体"/>
          <w:i w:val="0"/>
          <w:iCs w:val="0"/>
          <w:caps w:val="0"/>
          <w:color w:val="333333"/>
          <w:spacing w:val="0"/>
          <w:kern w:val="0"/>
          <w:sz w:val="44"/>
          <w:szCs w:val="44"/>
          <w:u w:val="none"/>
          <w:shd w:val="clear" w:fill="FFFFFF"/>
          <w:lang w:val="en-US" w:eastAsia="zh-CN" w:bidi="ar"/>
        </w:rPr>
      </w:pPr>
    </w:p>
    <w:p w14:paraId="2A9EB2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依据《中华人民共和国政府信息公开条例》(以下简称《政府信息公开条例》)第五十条规定，编制本报告。</w:t>
      </w:r>
    </w:p>
    <w:p w14:paraId="4B33B6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sz w:val="32"/>
          <w:szCs w:val="32"/>
          <w:u w:val="none"/>
        </w:rPr>
      </w:pPr>
      <w:r>
        <w:rPr>
          <w:rFonts w:hint="eastAsia" w:ascii="黑体" w:hAnsi="黑体" w:eastAsia="黑体" w:cs="黑体"/>
          <w:i w:val="0"/>
          <w:iCs w:val="0"/>
          <w:caps w:val="0"/>
          <w:color w:val="404040"/>
          <w:spacing w:val="0"/>
          <w:sz w:val="32"/>
          <w:szCs w:val="32"/>
          <w:u w:val="none"/>
          <w:shd w:val="clear" w:fill="FFFFFF"/>
        </w:rPr>
        <w:t>一、总体情况</w:t>
      </w:r>
    </w:p>
    <w:p w14:paraId="14076D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为保障公民、法人和其他社会组织的权利，维护人民群众的利益，我街道认真学习《中华人民共和国政府信息公开条例》并严格执行。本年度，我单位围绕年度重点工作，大力推进信息公开，加大主动公开力度，完善依申请公开流程，有效推进政务公开标准化规范化建设，努力建设开放透明的阳光玉泉营。想民之所想、为民之所期，以信息公开工作为落脚点建立让人民满意的服务型政府。</w:t>
      </w:r>
    </w:p>
    <w:p w14:paraId="28F816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根据信息公开条例第四条，政府信息公开工作机构的具体职能包括办理本行政机关的政府公开事宜、维护和更新本行政机关公开的政府信息、组织编制本行政机关的政府信息公开指南、政府信息公开目录和政府信息公开工作年度报告。</w:t>
      </w:r>
    </w:p>
    <w:p w14:paraId="04EAE27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sz w:val="32"/>
          <w:szCs w:val="32"/>
          <w:u w:val="none"/>
        </w:rPr>
      </w:pPr>
      <w:r>
        <w:rPr>
          <w:rFonts w:hint="eastAsia" w:ascii="楷体_GB2312" w:hAnsi="楷体_GB2312" w:eastAsia="楷体_GB2312" w:cs="楷体_GB2312"/>
          <w:i w:val="0"/>
          <w:iCs w:val="0"/>
          <w:caps w:val="0"/>
          <w:color w:val="404040"/>
          <w:spacing w:val="0"/>
          <w:sz w:val="32"/>
          <w:szCs w:val="32"/>
          <w:u w:val="none"/>
          <w:shd w:val="clear" w:fill="FFFFFF"/>
        </w:rPr>
        <w:t>（一）主动公开情况</w:t>
      </w:r>
    </w:p>
    <w:p w14:paraId="0BD4FD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本年度，通过首都之窗、区政府网站、微信公众号、电子滚动大屏等多种形式推进政府信息公开，主动公开信息1160条，其中通过微信公众号“丰台玉泉营”公开信息1026条。</w:t>
      </w:r>
    </w:p>
    <w:p w14:paraId="5543A75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i w:val="0"/>
          <w:iCs w:val="0"/>
          <w:caps w:val="0"/>
          <w:color w:val="404040"/>
          <w:spacing w:val="0"/>
          <w:sz w:val="32"/>
          <w:szCs w:val="32"/>
          <w:u w:val="none"/>
          <w:shd w:val="clear" w:fill="FFFFFF"/>
        </w:rPr>
      </w:pPr>
      <w:r>
        <w:rPr>
          <w:rFonts w:hint="eastAsia" w:ascii="楷体_GB2312" w:hAnsi="楷体_GB2312" w:eastAsia="楷体_GB2312" w:cs="楷体_GB2312"/>
          <w:i w:val="0"/>
          <w:iCs w:val="0"/>
          <w:caps w:val="0"/>
          <w:color w:val="404040"/>
          <w:spacing w:val="0"/>
          <w:sz w:val="32"/>
          <w:szCs w:val="32"/>
          <w:u w:val="none"/>
          <w:shd w:val="clear" w:fill="FFFFFF"/>
        </w:rPr>
        <w:t>（二）依申请公开办理情况</w:t>
      </w:r>
    </w:p>
    <w:p w14:paraId="14E6F2F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本年度，玉泉营街道共计收到依申请公开12件，其中公民提出申请11件，商业企业1件。截至目前已如期答复10件。已办结的10件依申请公开信息件中，因本单位未制作相关信息不予公开6件。</w:t>
      </w:r>
    </w:p>
    <w:p w14:paraId="71CE1F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i w:val="0"/>
          <w:iCs w:val="0"/>
          <w:caps w:val="0"/>
          <w:color w:val="404040"/>
          <w:spacing w:val="0"/>
          <w:sz w:val="32"/>
          <w:szCs w:val="32"/>
          <w:u w:val="none"/>
          <w:shd w:val="clear" w:fill="FFFFFF"/>
        </w:rPr>
      </w:pPr>
      <w:r>
        <w:rPr>
          <w:rFonts w:hint="eastAsia" w:ascii="楷体_GB2312" w:hAnsi="楷体_GB2312" w:eastAsia="楷体_GB2312" w:cs="楷体_GB2312"/>
          <w:i w:val="0"/>
          <w:iCs w:val="0"/>
          <w:caps w:val="0"/>
          <w:color w:val="404040"/>
          <w:spacing w:val="0"/>
          <w:sz w:val="32"/>
          <w:szCs w:val="32"/>
          <w:u w:val="none"/>
          <w:shd w:val="clear" w:fill="FFFFFF"/>
        </w:rPr>
        <w:t>（三）政府信息公开平台建设</w:t>
      </w:r>
    </w:p>
    <w:p w14:paraId="53AE44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为推进政务信息公开工作，我单位积极建设公开平台。积极完善区政府网站信息公开栏，并着力建设微信公众平台。其中公众号“丰台玉泉营”长期保持较高的更新频率，以权威、及时、生动的风格赢得了广大市民的喜爱，成为政务公开的重要窗口。</w:t>
      </w:r>
    </w:p>
    <w:p w14:paraId="64844A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404040"/>
          <w:spacing w:val="0"/>
          <w:sz w:val="32"/>
          <w:szCs w:val="32"/>
          <w:u w:val="none"/>
          <w:shd w:val="clear" w:fill="FFFFFF"/>
        </w:rPr>
      </w:pPr>
      <w:r>
        <w:rPr>
          <w:rFonts w:hint="eastAsia" w:ascii="黑体" w:hAnsi="黑体" w:eastAsia="黑体" w:cs="黑体"/>
          <w:i w:val="0"/>
          <w:iCs w:val="0"/>
          <w:caps w:val="0"/>
          <w:color w:val="404040"/>
          <w:spacing w:val="0"/>
          <w:sz w:val="32"/>
          <w:szCs w:val="32"/>
          <w:u w:val="none"/>
          <w:shd w:val="clear" w:fill="FFFFFF"/>
        </w:rPr>
        <w:t>二、主动公开政府信息情况</w:t>
      </w:r>
    </w:p>
    <w:tbl>
      <w:tblPr>
        <w:tblStyle w:val="3"/>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076"/>
        <w:gridCol w:w="2077"/>
        <w:gridCol w:w="2077"/>
        <w:gridCol w:w="2106"/>
      </w:tblGrid>
      <w:tr w14:paraId="76978FF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9732" w:type="dxa"/>
            <w:gridSpan w:val="4"/>
            <w:shd w:val="clear" w:color="auto" w:fill="auto"/>
            <w:vAlign w:val="center"/>
          </w:tcPr>
          <w:p w14:paraId="4BDB96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微软雅黑" w:hAnsi="微软雅黑" w:eastAsia="微软雅黑" w:cs="微软雅黑"/>
                <w:u w:val="none"/>
              </w:rPr>
            </w:pPr>
            <w:r>
              <w:rPr>
                <w:rFonts w:hint="eastAsia" w:ascii="仿宋_GB2312" w:hAnsi="仿宋_GB2312" w:eastAsia="仿宋_GB2312" w:cs="仿宋_GB2312"/>
                <w:sz w:val="32"/>
                <w:szCs w:val="32"/>
                <w:u w:val="none"/>
              </w:rPr>
              <w:t>第二十条第（一）项</w:t>
            </w:r>
          </w:p>
        </w:tc>
      </w:tr>
      <w:tr w14:paraId="3889DD8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3027A3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信息内容</w:t>
            </w:r>
          </w:p>
        </w:tc>
        <w:tc>
          <w:tcPr>
            <w:tcW w:w="2424" w:type="dxa"/>
            <w:shd w:val="clear" w:color="auto" w:fill="auto"/>
            <w:vAlign w:val="center"/>
          </w:tcPr>
          <w:p w14:paraId="7A8758C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本年制发件数</w:t>
            </w:r>
          </w:p>
        </w:tc>
        <w:tc>
          <w:tcPr>
            <w:tcW w:w="2424" w:type="dxa"/>
            <w:shd w:val="clear" w:color="auto" w:fill="auto"/>
            <w:vAlign w:val="center"/>
          </w:tcPr>
          <w:p w14:paraId="3CDD3D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本年废止件数</w:t>
            </w:r>
          </w:p>
        </w:tc>
        <w:tc>
          <w:tcPr>
            <w:tcW w:w="2424" w:type="dxa"/>
            <w:shd w:val="clear" w:color="auto" w:fill="auto"/>
            <w:vAlign w:val="center"/>
          </w:tcPr>
          <w:p w14:paraId="71389F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现行有效件数</w:t>
            </w:r>
          </w:p>
        </w:tc>
      </w:tr>
      <w:tr w14:paraId="484C42A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241053D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规章</w:t>
            </w:r>
          </w:p>
        </w:tc>
        <w:tc>
          <w:tcPr>
            <w:tcW w:w="2424" w:type="dxa"/>
            <w:shd w:val="clear" w:color="auto" w:fill="auto"/>
            <w:vAlign w:val="center"/>
          </w:tcPr>
          <w:p w14:paraId="40A562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2424" w:type="dxa"/>
            <w:shd w:val="clear" w:color="auto" w:fill="auto"/>
            <w:vAlign w:val="center"/>
          </w:tcPr>
          <w:p w14:paraId="4D78EB5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2424" w:type="dxa"/>
            <w:shd w:val="clear" w:color="auto" w:fill="auto"/>
            <w:vAlign w:val="center"/>
          </w:tcPr>
          <w:p w14:paraId="17CB0E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6A8E5D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2424" w:type="dxa"/>
            <w:shd w:val="clear" w:color="auto" w:fill="auto"/>
            <w:vAlign w:val="center"/>
          </w:tcPr>
          <w:p w14:paraId="2D63E22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行政规范性文件</w:t>
            </w:r>
          </w:p>
        </w:tc>
        <w:tc>
          <w:tcPr>
            <w:tcW w:w="2424" w:type="dxa"/>
            <w:shd w:val="clear" w:color="auto" w:fill="auto"/>
            <w:vAlign w:val="center"/>
          </w:tcPr>
          <w:p w14:paraId="746BC20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2424" w:type="dxa"/>
            <w:shd w:val="clear" w:color="auto" w:fill="auto"/>
            <w:vAlign w:val="center"/>
          </w:tcPr>
          <w:p w14:paraId="32BCA8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2424" w:type="dxa"/>
            <w:shd w:val="clear" w:color="auto" w:fill="auto"/>
            <w:vAlign w:val="center"/>
          </w:tcPr>
          <w:p w14:paraId="4826C4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56DA6C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9732" w:type="dxa"/>
            <w:gridSpan w:val="4"/>
            <w:shd w:val="clear" w:color="auto" w:fill="auto"/>
            <w:vAlign w:val="center"/>
          </w:tcPr>
          <w:p w14:paraId="0B5BD2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第二十条第（五）项</w:t>
            </w:r>
          </w:p>
        </w:tc>
      </w:tr>
      <w:tr w14:paraId="00602BF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0F5D8A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信息内容</w:t>
            </w:r>
          </w:p>
        </w:tc>
        <w:tc>
          <w:tcPr>
            <w:tcW w:w="7296" w:type="dxa"/>
            <w:gridSpan w:val="3"/>
            <w:shd w:val="clear" w:color="auto" w:fill="auto"/>
            <w:vAlign w:val="center"/>
          </w:tcPr>
          <w:p w14:paraId="06FDA1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本年处理决定数量</w:t>
            </w:r>
          </w:p>
        </w:tc>
      </w:tr>
      <w:tr w14:paraId="31A591E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608C5E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行政许可</w:t>
            </w:r>
          </w:p>
        </w:tc>
        <w:tc>
          <w:tcPr>
            <w:tcW w:w="7296" w:type="dxa"/>
            <w:gridSpan w:val="3"/>
            <w:shd w:val="clear" w:color="auto" w:fill="auto"/>
            <w:vAlign w:val="center"/>
          </w:tcPr>
          <w:p w14:paraId="74C8A6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3FBD558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9732" w:type="dxa"/>
            <w:gridSpan w:val="4"/>
            <w:shd w:val="clear" w:color="auto" w:fill="auto"/>
            <w:vAlign w:val="center"/>
          </w:tcPr>
          <w:p w14:paraId="08D81B8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第二十条第（六）项</w:t>
            </w:r>
          </w:p>
        </w:tc>
      </w:tr>
      <w:tr w14:paraId="372A3B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0A5A9C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信息内容</w:t>
            </w:r>
          </w:p>
        </w:tc>
        <w:tc>
          <w:tcPr>
            <w:tcW w:w="7296" w:type="dxa"/>
            <w:gridSpan w:val="3"/>
            <w:shd w:val="clear" w:color="auto" w:fill="auto"/>
            <w:vAlign w:val="center"/>
          </w:tcPr>
          <w:p w14:paraId="783A720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本年处理决定数量</w:t>
            </w:r>
          </w:p>
        </w:tc>
      </w:tr>
      <w:tr w14:paraId="7DE980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473F25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行政处罚</w:t>
            </w:r>
          </w:p>
        </w:tc>
        <w:tc>
          <w:tcPr>
            <w:tcW w:w="7296" w:type="dxa"/>
            <w:gridSpan w:val="3"/>
            <w:shd w:val="clear" w:color="auto" w:fill="auto"/>
            <w:vAlign w:val="center"/>
          </w:tcPr>
          <w:p w14:paraId="04294B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194</w:t>
            </w:r>
          </w:p>
        </w:tc>
      </w:tr>
      <w:tr w14:paraId="05AEB60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16A701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行政强制</w:t>
            </w:r>
          </w:p>
        </w:tc>
        <w:tc>
          <w:tcPr>
            <w:tcW w:w="7296" w:type="dxa"/>
            <w:gridSpan w:val="3"/>
            <w:shd w:val="clear" w:color="auto" w:fill="auto"/>
            <w:vAlign w:val="center"/>
          </w:tcPr>
          <w:p w14:paraId="6D518C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6BA21E9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9732" w:type="dxa"/>
            <w:gridSpan w:val="4"/>
            <w:shd w:val="clear" w:color="auto" w:fill="auto"/>
            <w:vAlign w:val="center"/>
          </w:tcPr>
          <w:p w14:paraId="5CA042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第二十条第（八）项</w:t>
            </w:r>
          </w:p>
        </w:tc>
      </w:tr>
      <w:tr w14:paraId="1CF4E923">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04D54D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信息内容</w:t>
            </w:r>
          </w:p>
        </w:tc>
        <w:tc>
          <w:tcPr>
            <w:tcW w:w="7296" w:type="dxa"/>
            <w:gridSpan w:val="3"/>
            <w:shd w:val="clear" w:color="auto" w:fill="auto"/>
            <w:vAlign w:val="center"/>
          </w:tcPr>
          <w:p w14:paraId="060497A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本年收费金额（单位：万元）</w:t>
            </w:r>
          </w:p>
        </w:tc>
      </w:tr>
      <w:tr w14:paraId="23540BA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2424" w:type="dxa"/>
            <w:shd w:val="clear" w:color="auto" w:fill="auto"/>
            <w:vAlign w:val="center"/>
          </w:tcPr>
          <w:p w14:paraId="072F43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行政事业性收费</w:t>
            </w:r>
          </w:p>
        </w:tc>
        <w:tc>
          <w:tcPr>
            <w:tcW w:w="7296" w:type="dxa"/>
            <w:gridSpan w:val="3"/>
            <w:shd w:val="clear" w:color="auto" w:fill="auto"/>
            <w:vAlign w:val="center"/>
          </w:tcPr>
          <w:p w14:paraId="7A4A26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bl>
    <w:p w14:paraId="5BFBC2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404040"/>
          <w:spacing w:val="0"/>
          <w:sz w:val="32"/>
          <w:szCs w:val="32"/>
          <w:u w:val="none"/>
          <w:shd w:val="clear" w:fill="FFFFFF"/>
        </w:rPr>
      </w:pPr>
      <w:r>
        <w:rPr>
          <w:rFonts w:hint="eastAsia" w:ascii="黑体" w:hAnsi="黑体" w:eastAsia="黑体" w:cs="黑体"/>
          <w:i w:val="0"/>
          <w:iCs w:val="0"/>
          <w:caps w:val="0"/>
          <w:color w:val="404040"/>
          <w:spacing w:val="0"/>
          <w:sz w:val="32"/>
          <w:szCs w:val="32"/>
          <w:u w:val="none"/>
          <w:shd w:val="clear" w:fill="FFFFFF"/>
        </w:rPr>
        <w:t>三、收到和处理政府信息公开申请情况</w:t>
      </w:r>
    </w:p>
    <w:tbl>
      <w:tblPr>
        <w:tblStyle w:val="3"/>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731"/>
        <w:gridCol w:w="990"/>
        <w:gridCol w:w="2478"/>
        <w:gridCol w:w="586"/>
        <w:gridCol w:w="586"/>
        <w:gridCol w:w="586"/>
        <w:gridCol w:w="586"/>
        <w:gridCol w:w="586"/>
        <w:gridCol w:w="595"/>
        <w:gridCol w:w="612"/>
      </w:tblGrid>
      <w:tr w14:paraId="20DA0E1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4920" w:type="dxa"/>
            <w:gridSpan w:val="3"/>
            <w:vMerge w:val="restart"/>
            <w:shd w:val="clear" w:color="auto" w:fill="auto"/>
            <w:vAlign w:val="center"/>
          </w:tcPr>
          <w:p w14:paraId="213828E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（本列数据的勾稽关系为：第一项加第二项之和，等于第三项加第四项之和）</w:t>
            </w:r>
          </w:p>
        </w:tc>
        <w:tc>
          <w:tcPr>
            <w:tcW w:w="4824" w:type="dxa"/>
            <w:gridSpan w:val="7"/>
            <w:shd w:val="clear" w:color="auto" w:fill="auto"/>
            <w:vAlign w:val="center"/>
          </w:tcPr>
          <w:p w14:paraId="01C2A8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申请人情况</w:t>
            </w:r>
          </w:p>
        </w:tc>
      </w:tr>
      <w:tr w14:paraId="21DEFEE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920" w:type="dxa"/>
            <w:gridSpan w:val="3"/>
            <w:vMerge w:val="continue"/>
            <w:shd w:val="clear" w:color="auto" w:fill="auto"/>
            <w:vAlign w:val="center"/>
          </w:tcPr>
          <w:p w14:paraId="554C7E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684" w:type="dxa"/>
            <w:vMerge w:val="restart"/>
            <w:shd w:val="clear" w:color="auto" w:fill="auto"/>
            <w:vAlign w:val="center"/>
          </w:tcPr>
          <w:p w14:paraId="55E530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自然人</w:t>
            </w:r>
          </w:p>
        </w:tc>
        <w:tc>
          <w:tcPr>
            <w:tcW w:w="3432" w:type="dxa"/>
            <w:gridSpan w:val="5"/>
            <w:shd w:val="clear" w:color="auto" w:fill="auto"/>
            <w:vAlign w:val="center"/>
          </w:tcPr>
          <w:p w14:paraId="32DE70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法人或其他组织</w:t>
            </w:r>
          </w:p>
        </w:tc>
        <w:tc>
          <w:tcPr>
            <w:tcW w:w="684" w:type="dxa"/>
            <w:vMerge w:val="restart"/>
            <w:shd w:val="clear" w:color="auto" w:fill="auto"/>
            <w:vAlign w:val="center"/>
          </w:tcPr>
          <w:p w14:paraId="23592D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总计</w:t>
            </w:r>
          </w:p>
        </w:tc>
      </w:tr>
      <w:tr w14:paraId="4CDE08E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920" w:type="dxa"/>
            <w:gridSpan w:val="3"/>
            <w:vMerge w:val="continue"/>
            <w:shd w:val="clear" w:color="auto" w:fill="auto"/>
            <w:vAlign w:val="center"/>
          </w:tcPr>
          <w:p w14:paraId="1E5E9F1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684" w:type="dxa"/>
            <w:vMerge w:val="continue"/>
            <w:shd w:val="clear" w:color="auto" w:fill="auto"/>
            <w:vAlign w:val="center"/>
          </w:tcPr>
          <w:p w14:paraId="25314B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684" w:type="dxa"/>
            <w:shd w:val="clear" w:color="auto" w:fill="auto"/>
            <w:vAlign w:val="center"/>
          </w:tcPr>
          <w:p w14:paraId="68ABC1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商业</w:t>
            </w:r>
          </w:p>
          <w:p w14:paraId="03C64C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企业</w:t>
            </w:r>
          </w:p>
        </w:tc>
        <w:tc>
          <w:tcPr>
            <w:tcW w:w="684" w:type="dxa"/>
            <w:shd w:val="clear" w:color="auto" w:fill="auto"/>
            <w:vAlign w:val="center"/>
          </w:tcPr>
          <w:p w14:paraId="28CADF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科研</w:t>
            </w:r>
          </w:p>
          <w:p w14:paraId="287300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机构</w:t>
            </w:r>
          </w:p>
        </w:tc>
        <w:tc>
          <w:tcPr>
            <w:tcW w:w="684" w:type="dxa"/>
            <w:shd w:val="clear" w:color="auto" w:fill="auto"/>
            <w:vAlign w:val="center"/>
          </w:tcPr>
          <w:p w14:paraId="7D8032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社会公益组织</w:t>
            </w:r>
          </w:p>
        </w:tc>
        <w:tc>
          <w:tcPr>
            <w:tcW w:w="684" w:type="dxa"/>
            <w:shd w:val="clear" w:color="auto" w:fill="auto"/>
            <w:vAlign w:val="center"/>
          </w:tcPr>
          <w:p w14:paraId="6872DB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法律服务机构</w:t>
            </w:r>
          </w:p>
        </w:tc>
        <w:tc>
          <w:tcPr>
            <w:tcW w:w="684" w:type="dxa"/>
            <w:shd w:val="clear" w:color="auto" w:fill="auto"/>
            <w:vAlign w:val="center"/>
          </w:tcPr>
          <w:p w14:paraId="7A8AC6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其他</w:t>
            </w:r>
          </w:p>
        </w:tc>
        <w:tc>
          <w:tcPr>
            <w:tcW w:w="684" w:type="dxa"/>
            <w:vMerge w:val="continue"/>
            <w:shd w:val="clear" w:color="auto" w:fill="auto"/>
            <w:vAlign w:val="center"/>
          </w:tcPr>
          <w:p w14:paraId="18C510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r>
      <w:tr w14:paraId="796BBC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4920" w:type="dxa"/>
            <w:gridSpan w:val="3"/>
            <w:shd w:val="clear" w:color="auto" w:fill="auto"/>
            <w:vAlign w:val="center"/>
          </w:tcPr>
          <w:p w14:paraId="6B53CC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一、本年新收政府信息公开申请数量</w:t>
            </w:r>
          </w:p>
        </w:tc>
        <w:tc>
          <w:tcPr>
            <w:tcW w:w="684" w:type="dxa"/>
            <w:shd w:val="clear" w:color="auto" w:fill="auto"/>
            <w:vAlign w:val="center"/>
          </w:tcPr>
          <w:p w14:paraId="4679B3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11</w:t>
            </w:r>
          </w:p>
        </w:tc>
        <w:tc>
          <w:tcPr>
            <w:tcW w:w="684" w:type="dxa"/>
            <w:shd w:val="clear" w:color="auto" w:fill="auto"/>
            <w:vAlign w:val="center"/>
          </w:tcPr>
          <w:p w14:paraId="7AA075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w:t>
            </w:r>
          </w:p>
        </w:tc>
        <w:tc>
          <w:tcPr>
            <w:tcW w:w="684" w:type="dxa"/>
            <w:shd w:val="clear" w:color="auto" w:fill="auto"/>
            <w:vAlign w:val="center"/>
          </w:tcPr>
          <w:p w14:paraId="2C3E93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7F2BD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60BAFE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4EC918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6AC3E9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12</w:t>
            </w:r>
          </w:p>
        </w:tc>
      </w:tr>
      <w:tr w14:paraId="2BF8886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4920" w:type="dxa"/>
            <w:gridSpan w:val="3"/>
            <w:shd w:val="clear" w:color="auto" w:fill="auto"/>
            <w:vAlign w:val="center"/>
          </w:tcPr>
          <w:p w14:paraId="5AF0B7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二、上年结转政府信息公开申请数量</w:t>
            </w:r>
          </w:p>
        </w:tc>
        <w:tc>
          <w:tcPr>
            <w:tcW w:w="684" w:type="dxa"/>
            <w:shd w:val="clear" w:color="auto" w:fill="auto"/>
            <w:vAlign w:val="center"/>
          </w:tcPr>
          <w:p w14:paraId="063A63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D0BE43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6FA222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4484AD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25E9430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846ACF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47C7D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5528984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restart"/>
            <w:shd w:val="clear" w:color="auto" w:fill="auto"/>
            <w:vAlign w:val="center"/>
          </w:tcPr>
          <w:p w14:paraId="17480F2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三、本年度办理结果</w:t>
            </w:r>
          </w:p>
        </w:tc>
        <w:tc>
          <w:tcPr>
            <w:tcW w:w="4152" w:type="dxa"/>
            <w:gridSpan w:val="2"/>
            <w:shd w:val="clear" w:color="auto" w:fill="auto"/>
            <w:vAlign w:val="center"/>
          </w:tcPr>
          <w:p w14:paraId="2C93BBF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（一）予以公开</w:t>
            </w:r>
          </w:p>
        </w:tc>
        <w:tc>
          <w:tcPr>
            <w:tcW w:w="684" w:type="dxa"/>
            <w:shd w:val="clear" w:color="auto" w:fill="auto"/>
            <w:vAlign w:val="center"/>
          </w:tcPr>
          <w:p w14:paraId="0D2A421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w:t>
            </w:r>
          </w:p>
        </w:tc>
        <w:tc>
          <w:tcPr>
            <w:tcW w:w="684" w:type="dxa"/>
            <w:shd w:val="clear" w:color="auto" w:fill="auto"/>
            <w:vAlign w:val="center"/>
          </w:tcPr>
          <w:p w14:paraId="4E5C5A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w:t>
            </w:r>
          </w:p>
        </w:tc>
        <w:tc>
          <w:tcPr>
            <w:tcW w:w="684" w:type="dxa"/>
            <w:shd w:val="clear" w:color="auto" w:fill="auto"/>
            <w:vAlign w:val="center"/>
          </w:tcPr>
          <w:p w14:paraId="53AA50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537631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F0220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1EB0E9D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A9C85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p>
        </w:tc>
      </w:tr>
      <w:tr w14:paraId="4A6603A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4F1DFE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4152" w:type="dxa"/>
            <w:gridSpan w:val="2"/>
            <w:shd w:val="clear" w:color="auto" w:fill="auto"/>
            <w:vAlign w:val="center"/>
          </w:tcPr>
          <w:p w14:paraId="6F05946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（二）部分公开（区分处理的，只计这一情形，不计其他情形）</w:t>
            </w:r>
          </w:p>
        </w:tc>
        <w:tc>
          <w:tcPr>
            <w:tcW w:w="684" w:type="dxa"/>
            <w:shd w:val="clear" w:color="auto" w:fill="auto"/>
            <w:vAlign w:val="center"/>
          </w:tcPr>
          <w:p w14:paraId="6B2D78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p>
        </w:tc>
        <w:tc>
          <w:tcPr>
            <w:tcW w:w="684" w:type="dxa"/>
            <w:shd w:val="clear" w:color="auto" w:fill="auto"/>
            <w:vAlign w:val="center"/>
          </w:tcPr>
          <w:p w14:paraId="7AC6B3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05B22F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1A58F5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04432D1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5EFA859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69CED7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p>
        </w:tc>
      </w:tr>
      <w:tr w14:paraId="0608442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1CB8D9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restart"/>
            <w:shd w:val="clear" w:color="auto" w:fill="auto"/>
            <w:vAlign w:val="center"/>
          </w:tcPr>
          <w:p w14:paraId="5CB5C8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（三）不予公开</w:t>
            </w:r>
          </w:p>
        </w:tc>
        <w:tc>
          <w:tcPr>
            <w:tcW w:w="3204" w:type="dxa"/>
            <w:shd w:val="clear" w:color="auto" w:fill="auto"/>
            <w:vAlign w:val="top"/>
          </w:tcPr>
          <w:p w14:paraId="0939DB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1.属于国家秘密</w:t>
            </w:r>
          </w:p>
        </w:tc>
        <w:tc>
          <w:tcPr>
            <w:tcW w:w="684" w:type="dxa"/>
            <w:shd w:val="clear" w:color="auto" w:fill="auto"/>
            <w:vAlign w:val="top"/>
          </w:tcPr>
          <w:p w14:paraId="00FA793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C910E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F59CA7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9E256E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6A94E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62EDBE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816B1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0AE4164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21E1E31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095AC4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1B2035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2.其他法律行政法规禁止公开</w:t>
            </w:r>
          </w:p>
        </w:tc>
        <w:tc>
          <w:tcPr>
            <w:tcW w:w="684" w:type="dxa"/>
            <w:shd w:val="clear" w:color="auto" w:fill="auto"/>
            <w:vAlign w:val="top"/>
          </w:tcPr>
          <w:p w14:paraId="7E5CFD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80880A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DDEE7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BF806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3B6204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B79DD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8FC1A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5C08C50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5BD4516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1F2ABD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1A68A7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3.危及“三安全一稳定”</w:t>
            </w:r>
          </w:p>
        </w:tc>
        <w:tc>
          <w:tcPr>
            <w:tcW w:w="684" w:type="dxa"/>
            <w:shd w:val="clear" w:color="auto" w:fill="auto"/>
            <w:vAlign w:val="top"/>
          </w:tcPr>
          <w:p w14:paraId="1556B4D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3AFC2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DB430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1672C1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4C8958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18082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27082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0566074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6BB7D1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09D522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3A6E30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4.保护第三方合法权益</w:t>
            </w:r>
          </w:p>
        </w:tc>
        <w:tc>
          <w:tcPr>
            <w:tcW w:w="684" w:type="dxa"/>
            <w:shd w:val="clear" w:color="auto" w:fill="auto"/>
            <w:vAlign w:val="top"/>
          </w:tcPr>
          <w:p w14:paraId="6F0A61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9E40F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E2F05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DB8171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8C791C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E8DF38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AE7F6E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22CC7B7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46B630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6C8915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46FA75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5.属于三类内部事务信息</w:t>
            </w:r>
          </w:p>
        </w:tc>
        <w:tc>
          <w:tcPr>
            <w:tcW w:w="684" w:type="dxa"/>
            <w:shd w:val="clear" w:color="auto" w:fill="auto"/>
            <w:vAlign w:val="top"/>
          </w:tcPr>
          <w:p w14:paraId="724519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4FC8B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369AF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EE121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DD2D1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E80CF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A21EA5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6C845CE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2AA5A367">
            <w:pPr>
              <w:rPr>
                <w:rFonts w:hint="eastAsia" w:ascii="微软雅黑" w:hAnsi="微软雅黑" w:eastAsia="微软雅黑" w:cs="微软雅黑"/>
                <w:sz w:val="24"/>
                <w:szCs w:val="24"/>
                <w:u w:val="none"/>
              </w:rPr>
            </w:pPr>
          </w:p>
        </w:tc>
        <w:tc>
          <w:tcPr>
            <w:tcW w:w="936" w:type="dxa"/>
            <w:vMerge w:val="continue"/>
            <w:shd w:val="clear" w:color="auto" w:fill="auto"/>
            <w:vAlign w:val="center"/>
          </w:tcPr>
          <w:p w14:paraId="5E3633D0">
            <w:pPr>
              <w:rPr>
                <w:rFonts w:hint="eastAsia" w:ascii="微软雅黑" w:hAnsi="微软雅黑" w:eastAsia="微软雅黑" w:cs="微软雅黑"/>
                <w:sz w:val="24"/>
                <w:szCs w:val="24"/>
                <w:u w:val="none"/>
              </w:rPr>
            </w:pPr>
          </w:p>
        </w:tc>
        <w:tc>
          <w:tcPr>
            <w:tcW w:w="3204" w:type="dxa"/>
            <w:shd w:val="clear" w:color="auto" w:fill="auto"/>
            <w:vAlign w:val="top"/>
          </w:tcPr>
          <w:p w14:paraId="514F59F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6.属于四类过程性信息</w:t>
            </w:r>
          </w:p>
        </w:tc>
        <w:tc>
          <w:tcPr>
            <w:tcW w:w="684" w:type="dxa"/>
            <w:shd w:val="clear" w:color="auto" w:fill="auto"/>
            <w:vAlign w:val="top"/>
          </w:tcPr>
          <w:p w14:paraId="5FD2BFD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1DD6F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3C6ED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A46D47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C01C2B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68CCDA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692563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3E0607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0359C50E">
            <w:pPr>
              <w:rPr>
                <w:rFonts w:hint="eastAsia" w:ascii="微软雅黑" w:hAnsi="微软雅黑" w:eastAsia="微软雅黑" w:cs="微软雅黑"/>
                <w:sz w:val="24"/>
                <w:szCs w:val="24"/>
                <w:u w:val="none"/>
              </w:rPr>
            </w:pPr>
          </w:p>
        </w:tc>
        <w:tc>
          <w:tcPr>
            <w:tcW w:w="936" w:type="dxa"/>
            <w:vMerge w:val="continue"/>
            <w:shd w:val="clear" w:color="auto" w:fill="auto"/>
            <w:vAlign w:val="center"/>
          </w:tcPr>
          <w:p w14:paraId="52760827">
            <w:pPr>
              <w:rPr>
                <w:rFonts w:hint="eastAsia" w:ascii="微软雅黑" w:hAnsi="微软雅黑" w:eastAsia="微软雅黑" w:cs="微软雅黑"/>
                <w:sz w:val="24"/>
                <w:szCs w:val="24"/>
                <w:u w:val="none"/>
              </w:rPr>
            </w:pPr>
          </w:p>
        </w:tc>
        <w:tc>
          <w:tcPr>
            <w:tcW w:w="3204" w:type="dxa"/>
            <w:shd w:val="clear" w:color="auto" w:fill="auto"/>
            <w:vAlign w:val="top"/>
          </w:tcPr>
          <w:p w14:paraId="494DBE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7.属于行政执法案卷</w:t>
            </w:r>
          </w:p>
        </w:tc>
        <w:tc>
          <w:tcPr>
            <w:tcW w:w="684" w:type="dxa"/>
            <w:shd w:val="clear" w:color="auto" w:fill="auto"/>
            <w:vAlign w:val="top"/>
          </w:tcPr>
          <w:p w14:paraId="1B0AA7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29B66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FA9D9D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2F033A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33EA7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25C7E6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5AD19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4B3CC21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2BB5F5DE">
            <w:pPr>
              <w:rPr>
                <w:rFonts w:hint="eastAsia" w:ascii="微软雅黑" w:hAnsi="微软雅黑" w:eastAsia="微软雅黑" w:cs="微软雅黑"/>
                <w:sz w:val="24"/>
                <w:szCs w:val="24"/>
                <w:u w:val="none"/>
              </w:rPr>
            </w:pPr>
          </w:p>
        </w:tc>
        <w:tc>
          <w:tcPr>
            <w:tcW w:w="936" w:type="dxa"/>
            <w:vMerge w:val="continue"/>
            <w:shd w:val="clear" w:color="auto" w:fill="auto"/>
            <w:vAlign w:val="center"/>
          </w:tcPr>
          <w:p w14:paraId="347AEFDD">
            <w:pPr>
              <w:rPr>
                <w:rFonts w:hint="eastAsia" w:ascii="微软雅黑" w:hAnsi="微软雅黑" w:eastAsia="微软雅黑" w:cs="微软雅黑"/>
                <w:sz w:val="24"/>
                <w:szCs w:val="24"/>
                <w:u w:val="none"/>
              </w:rPr>
            </w:pPr>
          </w:p>
        </w:tc>
        <w:tc>
          <w:tcPr>
            <w:tcW w:w="3204" w:type="dxa"/>
            <w:shd w:val="clear" w:color="auto" w:fill="auto"/>
            <w:vAlign w:val="top"/>
          </w:tcPr>
          <w:p w14:paraId="634A67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8.属于行政查询事项</w:t>
            </w:r>
          </w:p>
        </w:tc>
        <w:tc>
          <w:tcPr>
            <w:tcW w:w="684" w:type="dxa"/>
            <w:shd w:val="clear" w:color="auto" w:fill="auto"/>
            <w:vAlign w:val="top"/>
          </w:tcPr>
          <w:p w14:paraId="175673C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1A7EAE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98B2C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77A22F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0C485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FCC56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F366E5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4EBC702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086367D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restart"/>
            <w:shd w:val="clear" w:color="auto" w:fill="auto"/>
            <w:vAlign w:val="center"/>
          </w:tcPr>
          <w:p w14:paraId="433ACBA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（四）无法提供</w:t>
            </w:r>
          </w:p>
        </w:tc>
        <w:tc>
          <w:tcPr>
            <w:tcW w:w="3204" w:type="dxa"/>
            <w:shd w:val="clear" w:color="auto" w:fill="auto"/>
            <w:vAlign w:val="top"/>
          </w:tcPr>
          <w:p w14:paraId="1497211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1.本机关不掌握相关政府信息</w:t>
            </w:r>
          </w:p>
        </w:tc>
        <w:tc>
          <w:tcPr>
            <w:tcW w:w="684" w:type="dxa"/>
            <w:shd w:val="clear" w:color="auto" w:fill="auto"/>
            <w:vAlign w:val="top"/>
          </w:tcPr>
          <w:p w14:paraId="29B9A1C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p>
        </w:tc>
        <w:tc>
          <w:tcPr>
            <w:tcW w:w="684" w:type="dxa"/>
            <w:shd w:val="clear" w:color="auto" w:fill="auto"/>
            <w:vAlign w:val="top"/>
          </w:tcPr>
          <w:p w14:paraId="6B505E3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CC437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622F0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CF969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3C5D5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7E9AF2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p>
        </w:tc>
      </w:tr>
      <w:tr w14:paraId="5A7FB58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5EB40D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4697BE0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1495557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2.没有现成信息需要另行制作</w:t>
            </w:r>
          </w:p>
        </w:tc>
        <w:tc>
          <w:tcPr>
            <w:tcW w:w="684" w:type="dxa"/>
            <w:shd w:val="clear" w:color="auto" w:fill="auto"/>
            <w:vAlign w:val="top"/>
          </w:tcPr>
          <w:p w14:paraId="71232D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26F119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02E30C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4D818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3BA94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2C537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1B93E6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114131D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0ECC15B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2A565E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722F9F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3.补正后申请内容仍不明确</w:t>
            </w:r>
          </w:p>
        </w:tc>
        <w:tc>
          <w:tcPr>
            <w:tcW w:w="684" w:type="dxa"/>
            <w:shd w:val="clear" w:color="auto" w:fill="auto"/>
            <w:vAlign w:val="top"/>
          </w:tcPr>
          <w:p w14:paraId="0F0DE6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5D9BD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B78A23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C49FB9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7E6113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3F506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79D164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0CA0B0F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78DEA1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restart"/>
            <w:shd w:val="clear" w:color="auto" w:fill="auto"/>
            <w:vAlign w:val="center"/>
          </w:tcPr>
          <w:p w14:paraId="4B3F71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（五）不予处理</w:t>
            </w:r>
          </w:p>
        </w:tc>
        <w:tc>
          <w:tcPr>
            <w:tcW w:w="3204" w:type="dxa"/>
            <w:shd w:val="clear" w:color="auto" w:fill="auto"/>
            <w:vAlign w:val="top"/>
          </w:tcPr>
          <w:p w14:paraId="76A00C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1.信访举报投诉类申请</w:t>
            </w:r>
          </w:p>
        </w:tc>
        <w:tc>
          <w:tcPr>
            <w:tcW w:w="684" w:type="dxa"/>
            <w:shd w:val="clear" w:color="auto" w:fill="auto"/>
            <w:vAlign w:val="top"/>
          </w:tcPr>
          <w:p w14:paraId="6D7D8E3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AC1235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6CFAD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82C12E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E092F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3EB67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23C889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73714EE7">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5B5C5CD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52FC66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0D1E76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2.重复申请</w:t>
            </w:r>
          </w:p>
        </w:tc>
        <w:tc>
          <w:tcPr>
            <w:tcW w:w="684" w:type="dxa"/>
            <w:shd w:val="clear" w:color="auto" w:fill="auto"/>
            <w:vAlign w:val="top"/>
          </w:tcPr>
          <w:p w14:paraId="297D36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C2A0A5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9E0C58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8AEB5F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66F64D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990DA0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4E001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629C703B">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164D7D1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2B8C314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28EAD52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3.要求提供公开出版物</w:t>
            </w:r>
          </w:p>
        </w:tc>
        <w:tc>
          <w:tcPr>
            <w:tcW w:w="684" w:type="dxa"/>
            <w:shd w:val="clear" w:color="auto" w:fill="auto"/>
            <w:vAlign w:val="top"/>
          </w:tcPr>
          <w:p w14:paraId="25FF1E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333CC7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13F1A4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856CB1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70532B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1532068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281E5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284C9AF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414652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37A546D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top"/>
          </w:tcPr>
          <w:p w14:paraId="2DC94B9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4.无正当理由大量反复申请</w:t>
            </w:r>
          </w:p>
        </w:tc>
        <w:tc>
          <w:tcPr>
            <w:tcW w:w="684" w:type="dxa"/>
            <w:shd w:val="clear" w:color="auto" w:fill="auto"/>
            <w:vAlign w:val="top"/>
          </w:tcPr>
          <w:p w14:paraId="2B867A0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3B638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CE710F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51CF53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5ED93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A2358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08FEF8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5A1246CC">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679BAAA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continue"/>
            <w:shd w:val="clear" w:color="auto" w:fill="auto"/>
            <w:vAlign w:val="center"/>
          </w:tcPr>
          <w:p w14:paraId="19351DA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3204" w:type="dxa"/>
            <w:shd w:val="clear" w:color="auto" w:fill="auto"/>
            <w:vAlign w:val="center"/>
          </w:tcPr>
          <w:p w14:paraId="1D0BF1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5.要求行政机关确认或重新出具已获取信息</w:t>
            </w:r>
          </w:p>
        </w:tc>
        <w:tc>
          <w:tcPr>
            <w:tcW w:w="684" w:type="dxa"/>
            <w:shd w:val="clear" w:color="auto" w:fill="auto"/>
            <w:vAlign w:val="top"/>
          </w:tcPr>
          <w:p w14:paraId="23EE142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4D7EF4E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294463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8B2020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B37DA8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03E33B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294ADBC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17EBFE7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071DC38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936" w:type="dxa"/>
            <w:vMerge w:val="restart"/>
            <w:shd w:val="clear" w:color="auto" w:fill="auto"/>
            <w:vAlign w:val="center"/>
          </w:tcPr>
          <w:p w14:paraId="61E7FB9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（六）其他处理</w:t>
            </w:r>
          </w:p>
        </w:tc>
        <w:tc>
          <w:tcPr>
            <w:tcW w:w="3204" w:type="dxa"/>
            <w:shd w:val="clear" w:color="auto" w:fill="auto"/>
            <w:vAlign w:val="center"/>
          </w:tcPr>
          <w:p w14:paraId="4EC74EA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1.申请人无正当理由逾期不补正、行政机关不再处理其政府信息公开申请</w:t>
            </w:r>
          </w:p>
        </w:tc>
        <w:tc>
          <w:tcPr>
            <w:tcW w:w="684" w:type="dxa"/>
            <w:shd w:val="clear" w:color="auto" w:fill="auto"/>
            <w:vAlign w:val="center"/>
          </w:tcPr>
          <w:p w14:paraId="4B8192D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E82AA4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61B7252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69F3EC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D5A2DC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2B5EA50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63DB441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4FEA9C5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5E15419E">
            <w:pPr>
              <w:rPr>
                <w:rFonts w:hint="eastAsia" w:ascii="微软雅黑" w:hAnsi="微软雅黑" w:eastAsia="微软雅黑" w:cs="微软雅黑"/>
                <w:sz w:val="24"/>
                <w:szCs w:val="24"/>
                <w:u w:val="none"/>
              </w:rPr>
            </w:pPr>
          </w:p>
        </w:tc>
        <w:tc>
          <w:tcPr>
            <w:tcW w:w="936" w:type="dxa"/>
            <w:vMerge w:val="continue"/>
            <w:shd w:val="clear" w:color="auto" w:fill="auto"/>
            <w:vAlign w:val="center"/>
          </w:tcPr>
          <w:p w14:paraId="2BE6F016">
            <w:pPr>
              <w:rPr>
                <w:rFonts w:hint="eastAsia" w:ascii="微软雅黑" w:hAnsi="微软雅黑" w:eastAsia="微软雅黑" w:cs="微软雅黑"/>
                <w:sz w:val="24"/>
                <w:szCs w:val="24"/>
                <w:u w:val="none"/>
              </w:rPr>
            </w:pPr>
          </w:p>
        </w:tc>
        <w:tc>
          <w:tcPr>
            <w:tcW w:w="3204" w:type="dxa"/>
            <w:shd w:val="clear" w:color="auto" w:fill="auto"/>
            <w:vAlign w:val="center"/>
          </w:tcPr>
          <w:p w14:paraId="4D2A1F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2.申请人逾期未按收费通知要求缴纳费用、行政机关不再处理其政府信息公开申请</w:t>
            </w:r>
          </w:p>
        </w:tc>
        <w:tc>
          <w:tcPr>
            <w:tcW w:w="684" w:type="dxa"/>
            <w:shd w:val="clear" w:color="auto" w:fill="auto"/>
            <w:vAlign w:val="center"/>
          </w:tcPr>
          <w:p w14:paraId="7B1B1B8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A76032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096ABB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49DE20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23D135C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5E8CFF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700E89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60D98AEF">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45DA95FE">
            <w:pPr>
              <w:rPr>
                <w:rFonts w:hint="eastAsia" w:ascii="微软雅黑" w:hAnsi="微软雅黑" w:eastAsia="微软雅黑" w:cs="微软雅黑"/>
                <w:sz w:val="24"/>
                <w:szCs w:val="24"/>
                <w:u w:val="none"/>
              </w:rPr>
            </w:pPr>
          </w:p>
        </w:tc>
        <w:tc>
          <w:tcPr>
            <w:tcW w:w="936" w:type="dxa"/>
            <w:vMerge w:val="continue"/>
            <w:shd w:val="clear" w:color="auto" w:fill="auto"/>
            <w:vAlign w:val="center"/>
          </w:tcPr>
          <w:p w14:paraId="04690357">
            <w:pPr>
              <w:rPr>
                <w:rFonts w:hint="eastAsia" w:ascii="微软雅黑" w:hAnsi="微软雅黑" w:eastAsia="微软雅黑" w:cs="微软雅黑"/>
                <w:sz w:val="24"/>
                <w:szCs w:val="24"/>
                <w:u w:val="none"/>
              </w:rPr>
            </w:pPr>
          </w:p>
        </w:tc>
        <w:tc>
          <w:tcPr>
            <w:tcW w:w="3204" w:type="dxa"/>
            <w:shd w:val="clear" w:color="auto" w:fill="auto"/>
            <w:vAlign w:val="center"/>
          </w:tcPr>
          <w:p w14:paraId="703042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3.其他</w:t>
            </w:r>
          </w:p>
        </w:tc>
        <w:tc>
          <w:tcPr>
            <w:tcW w:w="684" w:type="dxa"/>
            <w:shd w:val="clear" w:color="auto" w:fill="auto"/>
            <w:vAlign w:val="center"/>
          </w:tcPr>
          <w:p w14:paraId="6584CF2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2DAAAB4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AB2E84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78147A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553563B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40D9B9A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37A6136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r w14:paraId="1500D11D">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756" w:type="dxa"/>
            <w:vMerge w:val="continue"/>
            <w:shd w:val="clear" w:color="auto" w:fill="auto"/>
            <w:vAlign w:val="center"/>
          </w:tcPr>
          <w:p w14:paraId="3EA2EFF6">
            <w:pPr>
              <w:rPr>
                <w:rFonts w:hint="eastAsia" w:ascii="微软雅黑" w:hAnsi="微软雅黑" w:eastAsia="微软雅黑" w:cs="微软雅黑"/>
                <w:sz w:val="24"/>
                <w:szCs w:val="24"/>
                <w:u w:val="none"/>
              </w:rPr>
            </w:pPr>
          </w:p>
        </w:tc>
        <w:tc>
          <w:tcPr>
            <w:tcW w:w="4152" w:type="dxa"/>
            <w:gridSpan w:val="2"/>
            <w:shd w:val="clear" w:color="auto" w:fill="auto"/>
            <w:vAlign w:val="center"/>
          </w:tcPr>
          <w:p w14:paraId="5DE87EB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（七）总计</w:t>
            </w:r>
          </w:p>
        </w:tc>
        <w:tc>
          <w:tcPr>
            <w:tcW w:w="684" w:type="dxa"/>
            <w:shd w:val="clear" w:color="auto" w:fill="auto"/>
            <w:vAlign w:val="center"/>
          </w:tcPr>
          <w:p w14:paraId="06EF415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5</w:t>
            </w:r>
          </w:p>
        </w:tc>
        <w:tc>
          <w:tcPr>
            <w:tcW w:w="684" w:type="dxa"/>
            <w:shd w:val="clear" w:color="auto" w:fill="auto"/>
            <w:vAlign w:val="center"/>
          </w:tcPr>
          <w:p w14:paraId="257A457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w:t>
            </w:r>
          </w:p>
        </w:tc>
        <w:tc>
          <w:tcPr>
            <w:tcW w:w="684" w:type="dxa"/>
            <w:shd w:val="clear" w:color="auto" w:fill="auto"/>
            <w:vAlign w:val="center"/>
          </w:tcPr>
          <w:p w14:paraId="6DD029C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72DACC4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727AE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76166E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top"/>
          </w:tcPr>
          <w:p w14:paraId="563106F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6</w:t>
            </w:r>
          </w:p>
        </w:tc>
      </w:tr>
      <w:tr w14:paraId="4B528EE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4920" w:type="dxa"/>
            <w:gridSpan w:val="3"/>
            <w:shd w:val="clear" w:color="auto" w:fill="auto"/>
            <w:vAlign w:val="center"/>
          </w:tcPr>
          <w:p w14:paraId="77CA615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四、结转下年度继续办理</w:t>
            </w:r>
          </w:p>
        </w:tc>
        <w:tc>
          <w:tcPr>
            <w:tcW w:w="684" w:type="dxa"/>
            <w:shd w:val="clear" w:color="auto" w:fill="auto"/>
            <w:vAlign w:val="center"/>
          </w:tcPr>
          <w:p w14:paraId="660D46F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6</w:t>
            </w:r>
          </w:p>
        </w:tc>
        <w:tc>
          <w:tcPr>
            <w:tcW w:w="0" w:type="auto"/>
            <w:shd w:val="clear" w:color="auto" w:fill="auto"/>
            <w:vAlign w:val="center"/>
          </w:tcPr>
          <w:p w14:paraId="5DE19EC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3023F28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0395659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76D0C91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684" w:type="dxa"/>
            <w:shd w:val="clear" w:color="auto" w:fill="auto"/>
            <w:vAlign w:val="center"/>
          </w:tcPr>
          <w:p w14:paraId="5999DE5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c>
          <w:tcPr>
            <w:tcW w:w="0" w:type="auto"/>
            <w:shd w:val="clear" w:color="auto" w:fill="auto"/>
            <w:vAlign w:val="center"/>
          </w:tcPr>
          <w:p w14:paraId="7127A7D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6</w:t>
            </w:r>
          </w:p>
        </w:tc>
      </w:tr>
    </w:tbl>
    <w:p w14:paraId="5B07526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i w:val="0"/>
          <w:iCs w:val="0"/>
          <w:caps w:val="0"/>
          <w:color w:val="404040"/>
          <w:spacing w:val="0"/>
          <w:sz w:val="32"/>
          <w:szCs w:val="32"/>
          <w:u w:val="none"/>
          <w:shd w:val="clear" w:fill="FFFFFF"/>
        </w:rPr>
      </w:pPr>
      <w:r>
        <w:rPr>
          <w:rFonts w:hint="eastAsia" w:ascii="黑体" w:hAnsi="黑体" w:eastAsia="黑体" w:cs="黑体"/>
          <w:i w:val="0"/>
          <w:iCs w:val="0"/>
          <w:caps w:val="0"/>
          <w:color w:val="404040"/>
          <w:spacing w:val="0"/>
          <w:sz w:val="32"/>
          <w:szCs w:val="32"/>
          <w:u w:val="none"/>
          <w:shd w:val="clear" w:fill="FFFFFF"/>
        </w:rPr>
        <w:t>四、政府信息公开行政复议、行政诉讼情况</w:t>
      </w:r>
    </w:p>
    <w:tbl>
      <w:tblPr>
        <w:tblStyle w:val="3"/>
        <w:tblW w:w="5000" w:type="pct"/>
        <w:tblCellSpacing w:w="0" w:type="dxa"/>
        <w:tblInd w:w="15"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555"/>
        <w:gridCol w:w="555"/>
        <w:gridCol w:w="555"/>
        <w:gridCol w:w="555"/>
        <w:gridCol w:w="555"/>
        <w:gridCol w:w="555"/>
        <w:gridCol w:w="555"/>
        <w:gridCol w:w="555"/>
        <w:gridCol w:w="555"/>
        <w:gridCol w:w="555"/>
        <w:gridCol w:w="555"/>
        <w:gridCol w:w="555"/>
        <w:gridCol w:w="556"/>
        <w:gridCol w:w="556"/>
        <w:gridCol w:w="564"/>
      </w:tblGrid>
      <w:tr w14:paraId="1BA59FB2">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0" w:type="dxa"/>
            <w:left w:w="0" w:type="dxa"/>
            <w:bottom w:w="0" w:type="dxa"/>
            <w:right w:w="0" w:type="dxa"/>
          </w:tblCellMar>
        </w:tblPrEx>
        <w:trPr>
          <w:tblCellSpacing w:w="0" w:type="dxa"/>
        </w:trPr>
        <w:tc>
          <w:tcPr>
            <w:tcW w:w="3240" w:type="dxa"/>
            <w:gridSpan w:val="5"/>
            <w:shd w:val="clear" w:color="auto" w:fill="auto"/>
            <w:vAlign w:val="center"/>
          </w:tcPr>
          <w:p w14:paraId="04A42A9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行政复议</w:t>
            </w:r>
          </w:p>
        </w:tc>
        <w:tc>
          <w:tcPr>
            <w:tcW w:w="6492" w:type="dxa"/>
            <w:gridSpan w:val="10"/>
            <w:shd w:val="clear" w:color="auto" w:fill="auto"/>
            <w:vAlign w:val="center"/>
          </w:tcPr>
          <w:p w14:paraId="4E4570C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行政诉讼</w:t>
            </w:r>
          </w:p>
        </w:tc>
      </w:tr>
      <w:tr w14:paraId="2C118940">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648" w:type="dxa"/>
            <w:vMerge w:val="restart"/>
            <w:shd w:val="clear" w:color="auto" w:fill="auto"/>
            <w:vAlign w:val="center"/>
          </w:tcPr>
          <w:p w14:paraId="0C5ED3B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结果维持</w:t>
            </w:r>
          </w:p>
        </w:tc>
        <w:tc>
          <w:tcPr>
            <w:tcW w:w="648" w:type="dxa"/>
            <w:vMerge w:val="restart"/>
            <w:shd w:val="clear" w:color="auto" w:fill="auto"/>
            <w:vAlign w:val="center"/>
          </w:tcPr>
          <w:p w14:paraId="23F86AB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结果</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纠正</w:t>
            </w:r>
          </w:p>
        </w:tc>
        <w:tc>
          <w:tcPr>
            <w:tcW w:w="648" w:type="dxa"/>
            <w:vMerge w:val="restart"/>
            <w:shd w:val="clear" w:color="auto" w:fill="auto"/>
            <w:vAlign w:val="center"/>
          </w:tcPr>
          <w:p w14:paraId="288044C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其他</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结果</w:t>
            </w:r>
          </w:p>
        </w:tc>
        <w:tc>
          <w:tcPr>
            <w:tcW w:w="648" w:type="dxa"/>
            <w:vMerge w:val="restart"/>
            <w:shd w:val="clear" w:color="auto" w:fill="auto"/>
            <w:vAlign w:val="center"/>
          </w:tcPr>
          <w:p w14:paraId="47D01F4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尚未</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审结</w:t>
            </w:r>
          </w:p>
        </w:tc>
        <w:tc>
          <w:tcPr>
            <w:tcW w:w="648" w:type="dxa"/>
            <w:vMerge w:val="restart"/>
            <w:shd w:val="clear" w:color="auto" w:fill="auto"/>
            <w:vAlign w:val="center"/>
          </w:tcPr>
          <w:p w14:paraId="791D79E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总计</w:t>
            </w:r>
          </w:p>
        </w:tc>
        <w:tc>
          <w:tcPr>
            <w:tcW w:w="3240" w:type="dxa"/>
            <w:gridSpan w:val="5"/>
            <w:shd w:val="clear" w:color="auto" w:fill="auto"/>
            <w:vAlign w:val="center"/>
          </w:tcPr>
          <w:p w14:paraId="5F1F4A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未经复议直接起诉</w:t>
            </w:r>
          </w:p>
        </w:tc>
        <w:tc>
          <w:tcPr>
            <w:tcW w:w="3252" w:type="dxa"/>
            <w:gridSpan w:val="5"/>
            <w:shd w:val="clear" w:color="auto" w:fill="auto"/>
            <w:vAlign w:val="center"/>
          </w:tcPr>
          <w:p w14:paraId="7F0C70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复议后起诉</w:t>
            </w:r>
          </w:p>
        </w:tc>
      </w:tr>
      <w:tr w14:paraId="3410C435">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PrEx>
        <w:trPr>
          <w:tblCellSpacing w:w="0" w:type="dxa"/>
        </w:trPr>
        <w:tc>
          <w:tcPr>
            <w:tcW w:w="648" w:type="dxa"/>
            <w:vMerge w:val="continue"/>
            <w:shd w:val="clear" w:color="auto" w:fill="auto"/>
            <w:vAlign w:val="center"/>
          </w:tcPr>
          <w:p w14:paraId="0E0B8D2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648" w:type="dxa"/>
            <w:vMerge w:val="continue"/>
            <w:shd w:val="clear" w:color="auto" w:fill="auto"/>
            <w:vAlign w:val="center"/>
          </w:tcPr>
          <w:p w14:paraId="7A60639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648" w:type="dxa"/>
            <w:vMerge w:val="continue"/>
            <w:shd w:val="clear" w:color="auto" w:fill="auto"/>
            <w:vAlign w:val="center"/>
          </w:tcPr>
          <w:p w14:paraId="73A25B4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648" w:type="dxa"/>
            <w:vMerge w:val="continue"/>
            <w:shd w:val="clear" w:color="auto" w:fill="auto"/>
            <w:vAlign w:val="center"/>
          </w:tcPr>
          <w:p w14:paraId="7C31FCE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648" w:type="dxa"/>
            <w:vMerge w:val="continue"/>
            <w:shd w:val="clear" w:color="auto" w:fill="auto"/>
            <w:vAlign w:val="center"/>
          </w:tcPr>
          <w:p w14:paraId="4AD31BF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p>
        </w:tc>
        <w:tc>
          <w:tcPr>
            <w:tcW w:w="648" w:type="dxa"/>
            <w:shd w:val="clear" w:color="auto" w:fill="auto"/>
            <w:vAlign w:val="center"/>
          </w:tcPr>
          <w:p w14:paraId="66C8719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结果</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维持</w:t>
            </w:r>
          </w:p>
        </w:tc>
        <w:tc>
          <w:tcPr>
            <w:tcW w:w="648" w:type="dxa"/>
            <w:shd w:val="clear" w:color="auto" w:fill="auto"/>
            <w:vAlign w:val="center"/>
          </w:tcPr>
          <w:p w14:paraId="231D1AB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结果</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纠正</w:t>
            </w:r>
          </w:p>
        </w:tc>
        <w:tc>
          <w:tcPr>
            <w:tcW w:w="648" w:type="dxa"/>
            <w:shd w:val="clear" w:color="auto" w:fill="auto"/>
            <w:vAlign w:val="center"/>
          </w:tcPr>
          <w:p w14:paraId="3D41010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其他</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结果</w:t>
            </w:r>
          </w:p>
        </w:tc>
        <w:tc>
          <w:tcPr>
            <w:tcW w:w="648" w:type="dxa"/>
            <w:shd w:val="clear" w:color="auto" w:fill="auto"/>
            <w:vAlign w:val="center"/>
          </w:tcPr>
          <w:p w14:paraId="1561AE3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尚未</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审结</w:t>
            </w:r>
          </w:p>
        </w:tc>
        <w:tc>
          <w:tcPr>
            <w:tcW w:w="648" w:type="dxa"/>
            <w:shd w:val="clear" w:color="auto" w:fill="auto"/>
            <w:vAlign w:val="center"/>
          </w:tcPr>
          <w:p w14:paraId="56858A7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总计</w:t>
            </w:r>
          </w:p>
        </w:tc>
        <w:tc>
          <w:tcPr>
            <w:tcW w:w="648" w:type="dxa"/>
            <w:shd w:val="clear" w:color="auto" w:fill="auto"/>
            <w:vAlign w:val="center"/>
          </w:tcPr>
          <w:p w14:paraId="68E65DB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结果</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维持</w:t>
            </w:r>
          </w:p>
        </w:tc>
        <w:tc>
          <w:tcPr>
            <w:tcW w:w="648" w:type="dxa"/>
            <w:shd w:val="clear" w:color="auto" w:fill="auto"/>
            <w:vAlign w:val="center"/>
          </w:tcPr>
          <w:p w14:paraId="71A78C66">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结果</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纠正</w:t>
            </w:r>
          </w:p>
        </w:tc>
        <w:tc>
          <w:tcPr>
            <w:tcW w:w="648" w:type="dxa"/>
            <w:shd w:val="clear" w:color="auto" w:fill="auto"/>
            <w:vAlign w:val="center"/>
          </w:tcPr>
          <w:p w14:paraId="164E14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其他</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结果</w:t>
            </w:r>
          </w:p>
        </w:tc>
        <w:tc>
          <w:tcPr>
            <w:tcW w:w="648" w:type="dxa"/>
            <w:shd w:val="clear" w:color="auto" w:fill="auto"/>
            <w:vAlign w:val="center"/>
          </w:tcPr>
          <w:p w14:paraId="2229D82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尚</w:t>
            </w:r>
            <w:bookmarkStart w:id="0" w:name="_GoBack"/>
            <w:bookmarkEnd w:id="0"/>
            <w:r>
              <w:rPr>
                <w:rFonts w:hint="eastAsia" w:ascii="仿宋_GB2312" w:hAnsi="仿宋_GB2312" w:eastAsia="仿宋_GB2312" w:cs="仿宋_GB2312"/>
                <w:sz w:val="32"/>
                <w:szCs w:val="32"/>
                <w:u w:val="none"/>
              </w:rPr>
              <w:t>未</w:t>
            </w:r>
            <w:r>
              <w:rPr>
                <w:rFonts w:hint="eastAsia" w:ascii="仿宋_GB2312" w:hAnsi="仿宋_GB2312" w:eastAsia="仿宋_GB2312" w:cs="仿宋_GB2312"/>
                <w:sz w:val="32"/>
                <w:szCs w:val="32"/>
                <w:u w:val="none"/>
              </w:rPr>
              <w:br w:type="textWrapping"/>
            </w:r>
            <w:r>
              <w:rPr>
                <w:rFonts w:hint="eastAsia" w:ascii="仿宋_GB2312" w:hAnsi="仿宋_GB2312" w:eastAsia="仿宋_GB2312" w:cs="仿宋_GB2312"/>
                <w:sz w:val="32"/>
                <w:szCs w:val="32"/>
                <w:u w:val="none"/>
              </w:rPr>
              <w:t>审结</w:t>
            </w:r>
          </w:p>
        </w:tc>
        <w:tc>
          <w:tcPr>
            <w:tcW w:w="648" w:type="dxa"/>
            <w:shd w:val="clear" w:color="auto" w:fill="auto"/>
            <w:vAlign w:val="center"/>
          </w:tcPr>
          <w:p w14:paraId="1F3BC13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总计</w:t>
            </w:r>
          </w:p>
        </w:tc>
      </w:tr>
      <w:tr w14:paraId="07E60886">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CellSpacing w:w="0" w:type="dxa"/>
        </w:trPr>
        <w:tc>
          <w:tcPr>
            <w:tcW w:w="648" w:type="dxa"/>
            <w:shd w:val="clear" w:color="auto" w:fill="auto"/>
            <w:vAlign w:val="center"/>
          </w:tcPr>
          <w:p w14:paraId="6D00F85E">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w:t>
            </w:r>
          </w:p>
        </w:tc>
        <w:tc>
          <w:tcPr>
            <w:tcW w:w="648" w:type="dxa"/>
            <w:shd w:val="clear" w:color="auto" w:fill="auto"/>
            <w:vAlign w:val="center"/>
          </w:tcPr>
          <w:p w14:paraId="1C66508D">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7520D674">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69E5501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1</w:t>
            </w:r>
          </w:p>
        </w:tc>
        <w:tc>
          <w:tcPr>
            <w:tcW w:w="648" w:type="dxa"/>
            <w:shd w:val="clear" w:color="auto" w:fill="auto"/>
            <w:vAlign w:val="center"/>
          </w:tcPr>
          <w:p w14:paraId="07DEB16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2</w:t>
            </w:r>
          </w:p>
        </w:tc>
        <w:tc>
          <w:tcPr>
            <w:tcW w:w="648" w:type="dxa"/>
            <w:shd w:val="clear" w:color="auto" w:fill="auto"/>
            <w:vAlign w:val="center"/>
          </w:tcPr>
          <w:p w14:paraId="5DD630B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6D75FCC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3E61391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241D086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2EF430D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46AB4D7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1A1A0BA9">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4C4DC9DA">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48F49847">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lang w:val="en-US" w:eastAsia="zh-CN"/>
              </w:rPr>
            </w:pPr>
            <w:r>
              <w:rPr>
                <w:rFonts w:hint="eastAsia" w:ascii="仿宋_GB2312" w:hAnsi="仿宋_GB2312" w:eastAsia="仿宋_GB2312" w:cs="仿宋_GB2312"/>
                <w:sz w:val="32"/>
                <w:szCs w:val="32"/>
                <w:u w:val="none"/>
                <w:lang w:val="en-US" w:eastAsia="zh-CN"/>
              </w:rPr>
              <w:t>0</w:t>
            </w:r>
          </w:p>
        </w:tc>
        <w:tc>
          <w:tcPr>
            <w:tcW w:w="648" w:type="dxa"/>
            <w:shd w:val="clear" w:color="auto" w:fill="auto"/>
            <w:vAlign w:val="center"/>
          </w:tcPr>
          <w:p w14:paraId="45A23A7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jc w:val="center"/>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0</w:t>
            </w:r>
          </w:p>
        </w:tc>
      </w:tr>
    </w:tbl>
    <w:p w14:paraId="01A7FB3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sz w:val="32"/>
          <w:szCs w:val="32"/>
          <w:u w:val="none"/>
        </w:rPr>
      </w:pPr>
      <w:r>
        <w:rPr>
          <w:rFonts w:hint="eastAsia" w:ascii="黑体" w:hAnsi="黑体" w:eastAsia="黑体" w:cs="黑体"/>
          <w:i w:val="0"/>
          <w:iCs w:val="0"/>
          <w:caps w:val="0"/>
          <w:color w:val="404040"/>
          <w:spacing w:val="0"/>
          <w:sz w:val="32"/>
          <w:szCs w:val="32"/>
          <w:u w:val="none"/>
          <w:shd w:val="clear" w:fill="FFFFFF"/>
        </w:rPr>
        <w:t>五、存在的主要问题及改进情况</w:t>
      </w:r>
    </w:p>
    <w:p w14:paraId="09EA564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sz w:val="32"/>
          <w:szCs w:val="32"/>
          <w:u w:val="none"/>
        </w:rPr>
      </w:pPr>
      <w:r>
        <w:rPr>
          <w:rFonts w:hint="eastAsia" w:ascii="楷体_GB2312" w:hAnsi="楷体_GB2312" w:eastAsia="楷体_GB2312" w:cs="楷体_GB2312"/>
          <w:i w:val="0"/>
          <w:iCs w:val="0"/>
          <w:caps w:val="0"/>
          <w:color w:val="404040"/>
          <w:spacing w:val="0"/>
          <w:sz w:val="32"/>
          <w:szCs w:val="32"/>
          <w:u w:val="none"/>
          <w:shd w:val="clear" w:fill="FFFFFF"/>
        </w:rPr>
        <w:t>（一）政府信息公开工作主要问题</w:t>
      </w:r>
    </w:p>
    <w:p w14:paraId="31CE35F3">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一是主动公开范围有待拓展。信息公开行为被动，主动公开的信息种类少、数量少；信息公开平台以微信为主，网站公开利用率低；信息公开内容以财务公开与执法信息公开为主，公开内容不够全面。</w:t>
      </w:r>
    </w:p>
    <w:p w14:paraId="4AFA833F">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二是公开信息严谨性有待提高。网站及微信公众号存在部分错敏字，信息审核把关不够严格。</w:t>
      </w:r>
    </w:p>
    <w:p w14:paraId="1578CF9C">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楷体_GB2312" w:hAnsi="楷体_GB2312" w:eastAsia="楷体_GB2312" w:cs="楷体_GB2312"/>
          <w:sz w:val="32"/>
          <w:szCs w:val="32"/>
          <w:u w:val="none"/>
        </w:rPr>
      </w:pPr>
      <w:r>
        <w:rPr>
          <w:rFonts w:hint="eastAsia" w:ascii="楷体_GB2312" w:hAnsi="楷体_GB2312" w:eastAsia="楷体_GB2312" w:cs="楷体_GB2312"/>
          <w:i w:val="0"/>
          <w:iCs w:val="0"/>
          <w:caps w:val="0"/>
          <w:color w:val="404040"/>
          <w:spacing w:val="0"/>
          <w:sz w:val="32"/>
          <w:szCs w:val="32"/>
          <w:u w:val="none"/>
          <w:shd w:val="clear" w:fill="FFFFFF"/>
        </w:rPr>
        <w:t>（二）今后政府信息公开工作改进措施</w:t>
      </w:r>
    </w:p>
    <w:p w14:paraId="3BCD079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一是进一步推动政务公开流程规范化，对相关工作人员组织业务培训和工作指导。一方面，组织工作人员学习《政府信息依申请公开工作手册》与主动公开手册，明确依申请公开的流程，主动公开的方式与范畴；另一方面在实践中摸索总结，做好登记、留档、电子与纸质双备份工作，并补齐缺失手续，不断规范公开流程。</w:t>
      </w:r>
    </w:p>
    <w:p w14:paraId="4374B58B">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二是进一步加大公开力度，鼓励主动公开。一方面，从单位现状出发，调整公开方式。在保持微信公众号高更新率的同时，加强政府网站信息公开。另一方面，继续加大主动公开力度，在财务公开与执法公示的基础上扩大公开范围，尤其是事关国民经济发展、民生、安全等方面的重大事项，确保依法、及时、准确、规范公开。</w:t>
      </w:r>
    </w:p>
    <w:p w14:paraId="61AA099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三是进一步工作人员提高服务水平。信息公开工作是提高政府工作透明度，建设法治政府的重要方式，是政府对外形象的重要窗口，对人民群众的生产生活和经济社会活动具有重要服务作用。因此，要组织各科室成员学习《信息公开条例》，把推进信息公开作为加强自身建设、提高服务水平的重要内容，提高主动公开信息的意识，推动政府信息公开工作进行。</w:t>
      </w:r>
    </w:p>
    <w:p w14:paraId="3AF0DA48">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四是严格审核把关，杜绝错敏字词错误。加大信息发布审核把关力度，完善审核审签工作制度，切实做好信息发布前的保密审查、内容审核、文字把关工作，加强发布中的监测检查，发布后台纠错、应急处置等相关工作，坚决杜绝错敏字词等严重错误情况发生，切实维护政府网站和政务新媒体服务政府信息公开、服务企业群众的权威性、有效性，不断提升政府公信力。</w:t>
      </w:r>
    </w:p>
    <w:p w14:paraId="2F965F0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黑体" w:hAnsi="黑体" w:eastAsia="黑体" w:cs="黑体"/>
          <w:sz w:val="32"/>
          <w:szCs w:val="32"/>
          <w:u w:val="none"/>
        </w:rPr>
      </w:pPr>
      <w:r>
        <w:rPr>
          <w:rFonts w:hint="eastAsia" w:ascii="黑体" w:hAnsi="黑体" w:eastAsia="黑体" w:cs="黑体"/>
          <w:i w:val="0"/>
          <w:iCs w:val="0"/>
          <w:caps w:val="0"/>
          <w:color w:val="404040"/>
          <w:spacing w:val="0"/>
          <w:sz w:val="32"/>
          <w:szCs w:val="32"/>
          <w:u w:val="none"/>
          <w:shd w:val="clear" w:fill="FFFFFF"/>
        </w:rPr>
        <w:t>六、其他需要报告的事项</w:t>
      </w:r>
    </w:p>
    <w:p w14:paraId="558AEAF5">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firstLine="640" w:firstLineChars="200"/>
        <w:jc w:val="both"/>
        <w:textAlignment w:val="auto"/>
        <w:rPr>
          <w:rFonts w:hint="eastAsia" w:ascii="仿宋_GB2312" w:hAnsi="仿宋_GB2312" w:eastAsia="仿宋_GB2312" w:cs="仿宋_GB2312"/>
          <w:sz w:val="32"/>
          <w:szCs w:val="32"/>
          <w:u w:val="none"/>
        </w:rPr>
      </w:pPr>
      <w:r>
        <w:rPr>
          <w:rFonts w:hint="eastAsia" w:ascii="仿宋_GB2312" w:hAnsi="仿宋_GB2312" w:eastAsia="仿宋_GB2312" w:cs="仿宋_GB2312"/>
          <w:i w:val="0"/>
          <w:iCs w:val="0"/>
          <w:caps w:val="0"/>
          <w:color w:val="404040"/>
          <w:spacing w:val="0"/>
          <w:sz w:val="32"/>
          <w:szCs w:val="32"/>
          <w:u w:val="none"/>
          <w:shd w:val="clear" w:fill="FFFFFF"/>
        </w:rPr>
        <w:t>发出收费通知的件数和总金额以及实际收取的总金额均为0。</w:t>
      </w:r>
    </w:p>
    <w:p w14:paraId="45016856">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Calibri Light">
    <w:panose1 w:val="020F0302020204030204"/>
    <w:charset w:val="00"/>
    <w:family w:val="auto"/>
    <w:pitch w:val="default"/>
    <w:sig w:usb0="A00002EF" w:usb1="4000207B" w:usb2="00000000" w:usb3="00000000" w:csb0="2000019F"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5574FE7"/>
    <w:rsid w:val="10936694"/>
    <w:rsid w:val="24B11B7A"/>
    <w:rsid w:val="45574F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 w:type="paragraph" w:customStyle="1" w:styleId="6">
    <w:name w:val="大标题"/>
    <w:basedOn w:val="1"/>
    <w:qFormat/>
    <w:uiPriority w:val="0"/>
    <w:pPr>
      <w:spacing w:before="100" w:beforeLines="100" w:after="100" w:afterLines="100" w:line="600" w:lineRule="exact"/>
      <w:jc w:val="center"/>
    </w:pPr>
    <w:rPr>
      <w:rFonts w:hint="eastAsia" w:ascii="方正小标宋简体" w:hAnsi="方正小标宋简体" w:eastAsia="方正小标宋简体" w:cs="方正小标宋简体"/>
      <w:sz w:val="44"/>
      <w:szCs w:val="4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12</TotalTime>
  <ScaleCrop>false</ScaleCrop>
  <LinksUpToDate>false</LinksUpToDate>
  <CharactersWithSpaces>0</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2025-10-29T06:03:00Z</dcterms:created>
  <dc:creator>lian</dc:creator>
  <cp:lastModifiedBy>donghai</cp:lastModifiedBy>
  <dcterms:modified xsi:type="dcterms:W3CDTF">2025-10-29T08:46:26Z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034256F6FAD24F118608E79A8653BA53</vt:lpwstr>
  </property>
</Properties>
</file>