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2CA1B">
      <w:pPr>
        <w:spacing w:line="560" w:lineRule="exact"/>
        <w:jc w:val="center"/>
        <w:rPr>
          <w:rFonts w:hint="eastAsia" w:ascii="方正小标宋简体" w:hAnsi="方正小标宋简体" w:eastAsia="方正小标宋简体" w:cs="方正小标宋简体"/>
          <w:sz w:val="44"/>
          <w:szCs w:val="44"/>
          <w:highlight w:val="none"/>
        </w:rPr>
      </w:pPr>
    </w:p>
    <w:p w14:paraId="7C98D6B2">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宛平街道办事处</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w:t>
      </w:r>
    </w:p>
    <w:p w14:paraId="3647B2D2">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工作年度报告</w:t>
      </w:r>
    </w:p>
    <w:p w14:paraId="7E4D6E9B">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14:paraId="65C76BE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14:paraId="3DB974E2">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14:paraId="1ED8D0F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eastAsia" w:ascii="楷体_GB2312" w:hAnsi="楷体_GB2312" w:eastAsia="楷体_GB2312" w:cs="楷体_GB2312"/>
          <w:spacing w:val="8"/>
          <w:kern w:val="0"/>
          <w:sz w:val="32"/>
          <w:szCs w:val="32"/>
          <w:lang w:val="en-US" w:eastAsia="zh-CN" w:bidi="ar-SA"/>
        </w:rPr>
      </w:pPr>
      <w:r>
        <w:rPr>
          <w:rFonts w:hint="eastAsia" w:ascii="楷体_GB2312" w:hAnsi="楷体_GB2312" w:eastAsia="楷体_GB2312" w:cs="楷体_GB2312"/>
          <w:spacing w:val="8"/>
          <w:kern w:val="0"/>
          <w:sz w:val="32"/>
          <w:szCs w:val="32"/>
          <w:lang w:val="en-US" w:eastAsia="zh-CN" w:bidi="ar-SA"/>
        </w:rPr>
        <w:t>（一）主动公开情况</w:t>
      </w:r>
    </w:p>
    <w:p w14:paraId="5860FE2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宛平街道办事处进一步完善政府网站信息内容更新保障机制，制作信息公开全清单。2024年共主动公开政府信息436条；</w:t>
      </w:r>
      <w:r>
        <w:rPr>
          <w:rFonts w:hint="eastAsia" w:ascii="仿宋_GB2312" w:hAnsi="宋体" w:eastAsia="仿宋_GB2312" w:cs="宋体"/>
          <w:spacing w:val="8"/>
          <w:kern w:val="0"/>
          <w:sz w:val="32"/>
          <w:szCs w:val="32"/>
          <w:highlight w:val="none"/>
          <w:lang w:val="en-US" w:eastAsia="zh-CN" w:bidi="ar-SA"/>
        </w:rPr>
        <w:t>政务微博公开政府信息165条，政务微信公开政府信息1069条，</w:t>
      </w:r>
      <w:r>
        <w:rPr>
          <w:rFonts w:hint="eastAsia" w:ascii="仿宋_GB2312" w:hAnsi="宋体" w:eastAsia="仿宋_GB2312" w:cs="宋体"/>
          <w:spacing w:val="8"/>
          <w:kern w:val="0"/>
          <w:sz w:val="32"/>
          <w:szCs w:val="32"/>
          <w:lang w:val="en-US" w:eastAsia="zh-CN" w:bidi="ar-SA"/>
        </w:rPr>
        <w:t>按时主动公开办事处2023年度财政决算、2024年度预算。</w:t>
      </w:r>
    </w:p>
    <w:p w14:paraId="17B5C64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default" w:ascii="楷体_GB2312" w:hAnsi="楷体_GB2312" w:eastAsia="楷体_GB2312" w:cs="楷体_GB2312"/>
          <w:spacing w:val="8"/>
          <w:kern w:val="0"/>
          <w:sz w:val="32"/>
          <w:szCs w:val="32"/>
          <w:lang w:val="en-US" w:eastAsia="zh-CN" w:bidi="ar-SA"/>
        </w:rPr>
      </w:pPr>
      <w:r>
        <w:rPr>
          <w:rFonts w:hint="eastAsia" w:ascii="楷体_GB2312" w:hAnsi="楷体_GB2312" w:eastAsia="楷体_GB2312" w:cs="楷体_GB2312"/>
          <w:spacing w:val="8"/>
          <w:kern w:val="0"/>
          <w:sz w:val="32"/>
          <w:szCs w:val="32"/>
          <w:lang w:val="en-US" w:eastAsia="zh-CN" w:bidi="ar-SA"/>
        </w:rPr>
        <w:t>（二）依申请公开情况</w:t>
      </w:r>
    </w:p>
    <w:p w14:paraId="39A19F2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2024年度，我街道办事处共收到政府信息公开申请31件，其中29件已办结，2件结转下年度继续办理，在信息公开工作中未出现任何泄密事件。</w:t>
      </w:r>
    </w:p>
    <w:p w14:paraId="291C86E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default" w:ascii="楷体_GB2312" w:hAnsi="楷体_GB2312" w:eastAsia="楷体_GB2312" w:cs="楷体_GB2312"/>
          <w:spacing w:val="8"/>
          <w:kern w:val="0"/>
          <w:sz w:val="32"/>
          <w:szCs w:val="32"/>
          <w:lang w:val="en-US" w:eastAsia="zh-CN" w:bidi="ar-SA"/>
        </w:rPr>
      </w:pPr>
      <w:r>
        <w:rPr>
          <w:rFonts w:hint="eastAsia" w:ascii="楷体_GB2312" w:hAnsi="楷体_GB2312" w:eastAsia="楷体_GB2312" w:cs="楷体_GB2312"/>
          <w:spacing w:val="8"/>
          <w:kern w:val="0"/>
          <w:sz w:val="32"/>
          <w:szCs w:val="32"/>
          <w:lang w:val="en-US" w:eastAsia="zh-CN" w:bidi="ar-SA"/>
        </w:rPr>
        <w:t>（三）政府信息资源的规范化、标准化管理情况</w:t>
      </w:r>
    </w:p>
    <w:p w14:paraId="31B961B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一是强化组织架构。确立综合办公室为政府信息公开工作主管部门，</w:t>
      </w:r>
      <w:r>
        <w:rPr>
          <w:rFonts w:hint="default" w:ascii="仿宋_GB2312" w:hAnsi="宋体" w:eastAsia="仿宋_GB2312" w:cs="宋体"/>
          <w:spacing w:val="8"/>
          <w:kern w:val="0"/>
          <w:sz w:val="32"/>
          <w:szCs w:val="32"/>
          <w:lang w:bidi="ar-SA"/>
        </w:rPr>
        <w:t>担当推动、引导、协同、监察街道政府信息公开事务。</w:t>
      </w:r>
    </w:p>
    <w:p w14:paraId="00C2D13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二是执行保密审查。办事处严格遵守保密审查、政府信息公开目录规范等相关制度规定，遵循信息公开相关原则，严格做好信息采集、内容审核、上传报送等环节，同时明确职责分工、完善工作机制、</w:t>
      </w:r>
      <w:r>
        <w:rPr>
          <w:rFonts w:hint="eastAsia" w:ascii="仿宋_GB2312" w:hAnsi="宋体" w:eastAsia="仿宋_GB2312" w:cs="宋体"/>
          <w:spacing w:val="8"/>
          <w:kern w:val="0"/>
          <w:sz w:val="32"/>
          <w:szCs w:val="32"/>
          <w:highlight w:val="none"/>
          <w:lang w:val="en-US" w:eastAsia="zh-CN" w:bidi="ar-SA"/>
        </w:rPr>
        <w:t>形成工作合力</w:t>
      </w:r>
      <w:r>
        <w:rPr>
          <w:rFonts w:hint="eastAsia" w:ascii="仿宋_GB2312" w:hAnsi="宋体" w:eastAsia="仿宋_GB2312" w:cs="宋体"/>
          <w:spacing w:val="8"/>
          <w:kern w:val="0"/>
          <w:sz w:val="32"/>
          <w:szCs w:val="32"/>
          <w:lang w:val="en-US" w:eastAsia="zh-CN" w:bidi="ar-SA"/>
        </w:rPr>
        <w:t>。</w:t>
      </w:r>
    </w:p>
    <w:p w14:paraId="0B1EF8B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default" w:ascii="楷体_GB2312" w:hAnsi="楷体_GB2312" w:eastAsia="楷体_GB2312" w:cs="楷体_GB2312"/>
          <w:spacing w:val="8"/>
          <w:kern w:val="0"/>
          <w:sz w:val="32"/>
          <w:szCs w:val="32"/>
          <w:lang w:val="en-US" w:eastAsia="zh-CN" w:bidi="ar-SA"/>
        </w:rPr>
      </w:pPr>
      <w:r>
        <w:rPr>
          <w:rFonts w:hint="eastAsia" w:ascii="楷体_GB2312" w:hAnsi="楷体_GB2312" w:eastAsia="楷体_GB2312" w:cs="楷体_GB2312"/>
          <w:spacing w:val="8"/>
          <w:kern w:val="0"/>
          <w:sz w:val="32"/>
          <w:szCs w:val="32"/>
          <w:lang w:val="en-US" w:eastAsia="zh-CN" w:bidi="ar-SA"/>
        </w:rPr>
        <w:t>（四）政府信息公开平台建设情况</w:t>
      </w:r>
    </w:p>
    <w:p w14:paraId="7FB09A7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default"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一是维护政府信息公开栏的建设，办事处指定专人对信息公开专栏及时进行维护、更新，规范领导简介、职责机构等栏目，保障各类信息及时、准确发布。二是规范依申请公开申请渠道，如电子邮箱、电话、邮件等，工作人员定期检查、测试各类依申请公开申请渠道，并按流程对信息公开申请进行后续登记、受理、审核和公开等工作。</w:t>
      </w:r>
    </w:p>
    <w:p w14:paraId="630A32C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default" w:ascii="楷体_GB2312" w:hAnsi="楷体_GB2312" w:eastAsia="楷体_GB2312" w:cs="楷体_GB2312"/>
          <w:spacing w:val="8"/>
          <w:kern w:val="0"/>
          <w:sz w:val="32"/>
          <w:szCs w:val="32"/>
          <w:lang w:val="en-US" w:eastAsia="zh-CN" w:bidi="ar-SA"/>
        </w:rPr>
      </w:pPr>
      <w:r>
        <w:rPr>
          <w:rFonts w:hint="eastAsia" w:ascii="楷体_GB2312" w:hAnsi="楷体_GB2312" w:eastAsia="楷体_GB2312" w:cs="楷体_GB2312"/>
          <w:spacing w:val="8"/>
          <w:kern w:val="0"/>
          <w:sz w:val="32"/>
          <w:szCs w:val="32"/>
          <w:lang w:val="en-US" w:eastAsia="zh-CN" w:bidi="ar-SA"/>
        </w:rPr>
        <w:t>（五）政府信息公开监督保障及教育培训情况</w:t>
      </w:r>
    </w:p>
    <w:p w14:paraId="455ECF9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default" w:ascii="仿宋_GB2312" w:hAnsi="宋体" w:eastAsia="仿宋_GB2312" w:cs="宋体"/>
          <w:spacing w:val="8"/>
          <w:kern w:val="0"/>
          <w:sz w:val="32"/>
          <w:szCs w:val="32"/>
          <w:lang w:bidi="ar-SA"/>
        </w:rPr>
        <w:t>办事处主管领导、</w:t>
      </w:r>
      <w:r>
        <w:rPr>
          <w:rFonts w:hint="eastAsia" w:ascii="仿宋_GB2312" w:hAnsi="宋体" w:eastAsia="仿宋_GB2312" w:cs="宋体"/>
          <w:spacing w:val="8"/>
          <w:kern w:val="0"/>
          <w:sz w:val="32"/>
          <w:szCs w:val="32"/>
          <w:lang w:val="en-US" w:eastAsia="zh-CN" w:bidi="ar-SA"/>
        </w:rPr>
        <w:t>科室</w:t>
      </w:r>
      <w:r>
        <w:rPr>
          <w:rFonts w:hint="default" w:ascii="仿宋_GB2312" w:hAnsi="宋体" w:eastAsia="仿宋_GB2312" w:cs="宋体"/>
          <w:spacing w:val="8"/>
          <w:kern w:val="0"/>
          <w:sz w:val="32"/>
          <w:szCs w:val="32"/>
          <w:lang w:bidi="ar-SA"/>
        </w:rPr>
        <w:t>的负责人以及</w:t>
      </w:r>
      <w:r>
        <w:rPr>
          <w:rFonts w:hint="eastAsia" w:ascii="仿宋_GB2312" w:hAnsi="宋体" w:eastAsia="仿宋_GB2312" w:cs="宋体"/>
          <w:spacing w:val="8"/>
          <w:kern w:val="0"/>
          <w:sz w:val="32"/>
          <w:szCs w:val="32"/>
          <w:lang w:val="en-US" w:eastAsia="zh-CN" w:bidi="ar-SA"/>
        </w:rPr>
        <w:t>具体工作人员通过视频会议、微信群集中答疑等方式积极</w:t>
      </w:r>
      <w:r>
        <w:rPr>
          <w:rFonts w:hint="default" w:ascii="仿宋_GB2312" w:hAnsi="宋体" w:eastAsia="仿宋_GB2312" w:cs="宋体"/>
          <w:spacing w:val="8"/>
          <w:kern w:val="0"/>
          <w:sz w:val="32"/>
          <w:szCs w:val="32"/>
          <w:lang w:bidi="ar-SA"/>
        </w:rPr>
        <w:t>参与政府信息公开工作的培训课程</w:t>
      </w:r>
      <w:r>
        <w:rPr>
          <w:rFonts w:hint="eastAsia" w:ascii="仿宋_GB2312" w:hAnsi="宋体" w:eastAsia="仿宋_GB2312" w:cs="宋体"/>
          <w:spacing w:val="8"/>
          <w:kern w:val="0"/>
          <w:sz w:val="32"/>
          <w:szCs w:val="32"/>
          <w:lang w:eastAsia="zh-CN" w:bidi="ar-SA"/>
        </w:rPr>
        <w:t>，</w:t>
      </w:r>
      <w:r>
        <w:rPr>
          <w:rFonts w:hint="default" w:ascii="仿宋_GB2312" w:hAnsi="宋体" w:eastAsia="仿宋_GB2312" w:cs="宋体"/>
          <w:spacing w:val="8"/>
          <w:kern w:val="0"/>
          <w:sz w:val="32"/>
          <w:szCs w:val="32"/>
          <w:lang w:bidi="ar-SA"/>
        </w:rPr>
        <w:t>将依法行政的理念与培训内容紧密结合，进一步提高思想认识，增强工作责任感，加强信息公开</w:t>
      </w:r>
      <w:r>
        <w:rPr>
          <w:rFonts w:hint="eastAsia" w:ascii="仿宋_GB2312" w:hAnsi="宋体" w:eastAsia="仿宋_GB2312" w:cs="宋体"/>
          <w:spacing w:val="8"/>
          <w:kern w:val="0"/>
          <w:sz w:val="32"/>
          <w:szCs w:val="32"/>
          <w:lang w:val="en-US" w:eastAsia="zh-CN" w:bidi="ar-SA"/>
        </w:rPr>
        <w:t>的及时性、准确性</w:t>
      </w:r>
      <w:r>
        <w:rPr>
          <w:rFonts w:hint="default" w:ascii="仿宋_GB2312" w:hAnsi="宋体" w:eastAsia="仿宋_GB2312" w:cs="宋体"/>
          <w:spacing w:val="8"/>
          <w:kern w:val="0"/>
          <w:sz w:val="32"/>
          <w:szCs w:val="32"/>
          <w:lang w:bidi="ar-SA"/>
        </w:rPr>
        <w:t>。</w:t>
      </w:r>
    </w:p>
    <w:p w14:paraId="6731FE22">
      <w:pPr>
        <w:keepNext w:val="0"/>
        <w:keepLines w:val="0"/>
        <w:pageBreakBefore w:val="0"/>
        <w:numPr>
          <w:ilvl w:val="0"/>
          <w:numId w:val="1"/>
        </w:numPr>
        <w:kinsoku/>
        <w:wordWrap/>
        <w:overflowPunct/>
        <w:topLinePunct w:val="0"/>
        <w:autoSpaceDE/>
        <w:autoSpaceDN/>
        <w:bidi w:val="0"/>
        <w:adjustRightInd/>
        <w:snapToGrid/>
        <w:spacing w:line="560" w:lineRule="exact"/>
        <w:ind w:left="-10" w:firstLine="640" w:firstLineChars="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14:paraId="649BA3E3">
      <w:pPr>
        <w:pStyle w:val="2"/>
        <w:rPr>
          <w:rFonts w:hint="eastAsia"/>
        </w:rPr>
      </w:pPr>
    </w:p>
    <w:p w14:paraId="02747E33">
      <w:pPr>
        <w:pStyle w:val="2"/>
        <w:numPr>
          <w:ilvl w:val="0"/>
          <w:numId w:val="0"/>
        </w:numPr>
        <w:rPr>
          <w:rFonts w:hint="eastAsia"/>
        </w:rPr>
      </w:pPr>
    </w:p>
    <w:tbl>
      <w:tblPr>
        <w:tblStyle w:val="5"/>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20FEB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62DAE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3DCD4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0154F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55152B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501792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28D115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3E8D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A2F3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321A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3DF39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1D193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eastAsia="宋体"/>
                <w:lang w:val="en-US" w:eastAsia="zh-CN"/>
              </w:rPr>
            </w:pPr>
            <w:r>
              <w:rPr>
                <w:rFonts w:hint="eastAsia"/>
                <w:lang w:val="en-US" w:eastAsia="zh-CN"/>
              </w:rPr>
              <w:t>0</w:t>
            </w:r>
          </w:p>
        </w:tc>
      </w:tr>
      <w:tr w14:paraId="2DC4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68B6D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80E15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21C6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32EFA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Calibri" w:hAnsi="Calibri" w:cs="Calibri"/>
                <w:kern w:val="0"/>
                <w:sz w:val="21"/>
                <w:szCs w:val="21"/>
                <w:lang w:val="en-US" w:eastAsia="zh-CN" w:bidi="ar"/>
              </w:rPr>
              <w:t>0</w:t>
            </w:r>
          </w:p>
        </w:tc>
      </w:tr>
      <w:tr w14:paraId="5183D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45591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0790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5FE68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14:paraId="766BE9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20B6D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2C855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5CF0D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eastAsia="宋体"/>
                <w:lang w:val="en-US" w:eastAsia="zh-CN"/>
              </w:rPr>
            </w:pPr>
            <w:r>
              <w:rPr>
                <w:rFonts w:hint="eastAsia"/>
                <w:lang w:val="en-US" w:eastAsia="zh-CN"/>
              </w:rPr>
              <w:t>0</w:t>
            </w:r>
          </w:p>
        </w:tc>
      </w:tr>
      <w:tr w14:paraId="6E19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526208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7620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65FF04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34E18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11D1D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B703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9041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1346</w:t>
            </w:r>
          </w:p>
        </w:tc>
      </w:tr>
      <w:tr w14:paraId="4FC2B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D9371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523DFC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r>
      <w:tr w14:paraId="532C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28DAE8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10500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623B1A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14:paraId="3194F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6AB70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CC4C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2260901D">
            <w:pPr>
              <w:rPr>
                <w:rFonts w:hint="eastAsia" w:ascii="宋体" w:eastAsia="宋体"/>
                <w:sz w:val="24"/>
                <w:szCs w:val="24"/>
                <w:lang w:val="en-US" w:eastAsia="zh-CN"/>
              </w:rPr>
            </w:pPr>
            <w:r>
              <w:rPr>
                <w:rFonts w:hint="eastAsia" w:ascii="宋体"/>
                <w:sz w:val="24"/>
                <w:szCs w:val="24"/>
                <w:lang w:val="en-US" w:eastAsia="zh-CN"/>
              </w:rPr>
              <w:t>0</w:t>
            </w:r>
          </w:p>
        </w:tc>
      </w:tr>
    </w:tbl>
    <w:p w14:paraId="4E68226E">
      <w:pPr>
        <w:pStyle w:val="2"/>
        <w:numPr>
          <w:ilvl w:val="0"/>
          <w:numId w:val="0"/>
        </w:numPr>
        <w:rPr>
          <w:rFonts w:hint="eastAsia"/>
        </w:rPr>
      </w:pPr>
    </w:p>
    <w:p w14:paraId="49EF6298">
      <w:pPr>
        <w:pStyle w:val="2"/>
        <w:numPr>
          <w:ilvl w:val="0"/>
          <w:numId w:val="0"/>
        </w:numPr>
        <w:rPr>
          <w:rFonts w:hint="eastAsia"/>
        </w:rPr>
      </w:pPr>
    </w:p>
    <w:p w14:paraId="0BDE85B9">
      <w:pPr>
        <w:pStyle w:val="2"/>
        <w:numPr>
          <w:ilvl w:val="0"/>
          <w:numId w:val="0"/>
        </w:numPr>
        <w:rPr>
          <w:rFonts w:hint="eastAsia"/>
        </w:rPr>
      </w:pPr>
    </w:p>
    <w:p w14:paraId="241D73CC">
      <w:pPr>
        <w:pStyle w:val="2"/>
        <w:numPr>
          <w:ilvl w:val="0"/>
          <w:numId w:val="0"/>
        </w:numPr>
        <w:rPr>
          <w:rFonts w:hint="eastAsia"/>
        </w:rPr>
      </w:pPr>
    </w:p>
    <w:p w14:paraId="1438466D">
      <w:pPr>
        <w:pStyle w:val="2"/>
        <w:numPr>
          <w:ilvl w:val="0"/>
          <w:numId w:val="0"/>
        </w:numPr>
        <w:rPr>
          <w:rFonts w:hint="eastAsia"/>
        </w:rPr>
      </w:pPr>
    </w:p>
    <w:p w14:paraId="1E1A683E">
      <w:pPr>
        <w:numPr>
          <w:ilvl w:val="0"/>
          <w:numId w:val="1"/>
        </w:numPr>
        <w:spacing w:line="560" w:lineRule="exact"/>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14:paraId="4341948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14:paraId="2DD71C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14CA86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139FE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4FD45F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446A3375">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14:paraId="7FDC21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7904F5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2944F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7C6974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31F2DEC9">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14:paraId="4A29756F">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25EC2E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00C7B4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425C73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00DEC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7CFF6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10DD4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3ADE8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1D0C9811">
            <w:pPr>
              <w:rPr>
                <w:rFonts w:hint="eastAsia" w:ascii="宋体"/>
                <w:sz w:val="24"/>
                <w:szCs w:val="24"/>
              </w:rPr>
            </w:pPr>
          </w:p>
        </w:tc>
      </w:tr>
      <w:tr w14:paraId="3AEB69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C69F0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BA8AD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31</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5FE08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EF15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E58C6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79391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181AB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FB76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31</w:t>
            </w:r>
          </w:p>
        </w:tc>
      </w:tr>
      <w:tr w14:paraId="5FC0CE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279CAD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876B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BE6A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5B0BB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7D4F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613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E0C0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2E1E5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21819F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57D04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E7F85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23F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97E4A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837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87F9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A6F2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7275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4126F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r>
      <w:tr w14:paraId="2F5AF5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B81D739">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41D358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721D6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4BD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35C6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F2E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E3AA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EC287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8BEE9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r>
      <w:tr w14:paraId="4A816D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E2CD1E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8FD1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8A152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A5518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EA61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9FA3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B4F1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CD98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65C0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2717C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1BAEFD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C2AB83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7BB3FCA">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9C72B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E501C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23693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4F82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B535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17229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0FD9B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81011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0FA85C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3F87B4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FC7480C">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CC786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DB609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6889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2095A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F1AD5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FBE5F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67D25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8732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6F65CD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2A8983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4E45001">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BA1BC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B9961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705B5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54F2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48F85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9DB2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F095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D31A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0DF15C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0EBE22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1D28CB4">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0B7AD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132A5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8650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A8D49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B556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4C446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E63E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A103F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r>
      <w:tr w14:paraId="0E5536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66960F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278DC2E">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DB1F1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F94B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D3D4B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803DF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AC2C2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B204F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76DCB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8D930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51BD50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D57738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9B9AD37">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A1C71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C5802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7F897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64056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3DED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BF33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38AA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4BB8E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62E4E8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9FAD7C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5AE2CBB">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9275C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10A21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08B9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5ABDF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228F6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9951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DFA8A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D4E58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325559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EB0026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3809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1110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4C28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17</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56B97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C984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ED90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5D91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274F8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5EC2F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17</w:t>
            </w:r>
          </w:p>
        </w:tc>
      </w:tr>
      <w:tr w14:paraId="7B67C1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F3445D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3BD2454">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CBFB9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9AC4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688D0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BCCF1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3C52C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A93F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43D3F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7C62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442DF1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303CCE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C7C1AF5">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507BF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6F5A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FF1B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61CB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D9BDE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F0BA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547DA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D4B05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353364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33CADE5">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4326C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BA712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50A8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23B22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F1E67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3DAA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37301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8BFC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050C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7B588D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22B73B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4DE0DD26">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AFCF5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A57C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8FA5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A3E9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633C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403B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70FD6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3B39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317B72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6816C7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C6CB413">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7247F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367C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79CD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9BC0B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4343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4C14B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A3A8E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D1407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610EFC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A2E9B0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835C52A">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9718A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F9EC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EDD4F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60CEB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8A33F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E4065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62CD2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B6BE0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13E923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4B4912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351BB91">
            <w:pPr>
              <w:rPr>
                <w:rFonts w:hint="eastAsia" w:ascii="宋体"/>
                <w:sz w:val="24"/>
                <w:szCs w:val="24"/>
              </w:rPr>
            </w:pPr>
          </w:p>
        </w:tc>
        <w:tc>
          <w:tcPr>
            <w:tcW w:w="3219"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307C9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43A697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4B5A40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3BE41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34ADFD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1F1E5E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top"/>
          </w:tcPr>
          <w:p w14:paraId="038572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top"/>
          </w:tcPr>
          <w:p w14:paraId="3F9F97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6AC259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5673E77">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2D630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47D616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3D3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9</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AA097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04A9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33B0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D3267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5B43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7E0B4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9</w:t>
            </w:r>
          </w:p>
        </w:tc>
      </w:tr>
      <w:tr w14:paraId="66D5CA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C94B587">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4C23F8C7">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64EA1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2F149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785A8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63AF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3FB7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61A05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C4A1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2B238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0"/>
                <w:sz w:val="20"/>
                <w:szCs w:val="20"/>
                <w:lang w:val="en-US" w:eastAsia="zh-CN" w:bidi="ar"/>
              </w:rPr>
              <w:t>0</w:t>
            </w:r>
          </w:p>
        </w:tc>
      </w:tr>
      <w:tr w14:paraId="18053B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F5B5818">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294C06ED">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17959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67BF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DF01D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03DB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8A43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96F0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6FEA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BB28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r>
      <w:tr w14:paraId="431EC7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9E856F8">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4F5AB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E14A6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29</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9EAE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03A1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FD44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D085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6681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F733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29</w:t>
            </w:r>
          </w:p>
        </w:tc>
      </w:tr>
      <w:tr w14:paraId="7070A8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AEF4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outset" w:color="auto" w:sz="6" w:space="0"/>
              <w:left w:val="nil"/>
              <w:bottom w:val="outset" w:color="auto" w:sz="6" w:space="0"/>
              <w:right w:val="outset" w:color="auto" w:sz="6" w:space="0"/>
            </w:tcBorders>
            <w:noWrap w:val="0"/>
            <w:vAlign w:val="center"/>
          </w:tcPr>
          <w:p w14:paraId="4AB1F3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2</w:t>
            </w:r>
          </w:p>
        </w:tc>
        <w:tc>
          <w:tcPr>
            <w:tcW w:w="688" w:type="dxa"/>
            <w:tcBorders>
              <w:top w:val="outset" w:color="auto" w:sz="6" w:space="0"/>
              <w:left w:val="nil"/>
              <w:bottom w:val="outset" w:color="auto" w:sz="6" w:space="0"/>
              <w:right w:val="outset" w:color="auto" w:sz="6" w:space="0"/>
            </w:tcBorders>
            <w:noWrap w:val="0"/>
            <w:vAlign w:val="center"/>
          </w:tcPr>
          <w:p w14:paraId="088CF5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688" w:type="dxa"/>
            <w:tcBorders>
              <w:top w:val="outset" w:color="auto" w:sz="6" w:space="0"/>
              <w:left w:val="nil"/>
              <w:bottom w:val="outset" w:color="auto" w:sz="6" w:space="0"/>
              <w:right w:val="outset" w:color="auto" w:sz="6" w:space="0"/>
            </w:tcBorders>
            <w:noWrap w:val="0"/>
            <w:vAlign w:val="center"/>
          </w:tcPr>
          <w:p w14:paraId="76691F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50E70E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4DD537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78129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34BD0C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黑体" w:hAnsi="宋体" w:eastAsia="黑体" w:cs="黑体"/>
                <w:kern w:val="0"/>
                <w:sz w:val="20"/>
                <w:szCs w:val="20"/>
                <w:lang w:val="en-US" w:eastAsia="zh-CN" w:bidi="ar"/>
              </w:rPr>
            </w:pPr>
            <w:r>
              <w:rPr>
                <w:rFonts w:hint="eastAsia" w:ascii="黑体" w:hAnsi="宋体" w:eastAsia="黑体" w:cs="黑体"/>
                <w:kern w:val="0"/>
                <w:sz w:val="20"/>
                <w:szCs w:val="20"/>
                <w:lang w:val="en-US" w:eastAsia="zh-CN" w:bidi="ar"/>
              </w:rPr>
              <w:t>2</w:t>
            </w:r>
          </w:p>
        </w:tc>
      </w:tr>
    </w:tbl>
    <w:p w14:paraId="3C08BB33">
      <w:pPr>
        <w:pStyle w:val="2"/>
        <w:numPr>
          <w:ilvl w:val="0"/>
          <w:numId w:val="0"/>
        </w:numPr>
        <w:ind w:leftChars="200"/>
        <w:rPr>
          <w:rFonts w:hint="eastAsia"/>
        </w:rPr>
      </w:pPr>
    </w:p>
    <w:p w14:paraId="454ECF8D">
      <w:pPr>
        <w:pStyle w:val="2"/>
        <w:numPr>
          <w:ilvl w:val="0"/>
          <w:numId w:val="0"/>
        </w:numPr>
        <w:ind w:leftChars="200"/>
        <w:rPr>
          <w:rFonts w:hint="eastAsia"/>
        </w:rPr>
      </w:pPr>
    </w:p>
    <w:p w14:paraId="587F3962">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14:paraId="5223E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5C63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33B8C6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52514F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C00BB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B1147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537C2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7688B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76CC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136E9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36CFAC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32BAFF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7DF26F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44C4CFB">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F946A40">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9AE0E34">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379E310">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226A21C">
            <w:pPr>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47B2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603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9066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843A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9267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40F61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F8EC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DAE1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ABEB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B25C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35C521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2CC3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7A25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103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7EA53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11090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6A62F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2814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F21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2182A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2B19F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76CE0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A132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3583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D28C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3187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eastAsia="宋体"/>
                <w:sz w:val="24"/>
                <w:szCs w:val="24"/>
                <w:lang w:val="en-US" w:eastAsia="zh-CN"/>
              </w:rPr>
            </w:pPr>
            <w:r>
              <w:rPr>
                <w:rFonts w:hint="eastAsia" w:ascii="黑体" w:hAnsi="宋体" w:eastAsia="黑体" w:cs="黑体"/>
                <w:kern w:val="0"/>
                <w:sz w:val="20"/>
                <w:szCs w:val="20"/>
                <w:lang w:val="en-US" w:eastAsia="zh-CN" w:bidi="ar"/>
              </w:rPr>
              <w:t>0</w:t>
            </w:r>
          </w:p>
        </w:tc>
      </w:tr>
    </w:tbl>
    <w:p w14:paraId="4BA3F9C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pPr>
    </w:p>
    <w:p w14:paraId="5A338400">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宋体" w:hAnsi="宋体" w:cs="宋体"/>
          <w:spacing w:val="8"/>
          <w:kern w:val="0"/>
          <w:sz w:val="24"/>
        </w:rPr>
      </w:pPr>
      <w:r>
        <w:rPr>
          <w:rFonts w:ascii="黑体" w:hAnsi="黑体" w:eastAsia="黑体" w:cs="宋体"/>
          <w:spacing w:val="8"/>
          <w:kern w:val="0"/>
          <w:sz w:val="32"/>
          <w:szCs w:val="32"/>
        </w:rPr>
        <w:t>五、存在的主要问题及改进情况</w:t>
      </w:r>
    </w:p>
    <w:p w14:paraId="242681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caps w:val="0"/>
          <w:color w:val="404040"/>
          <w:spacing w:val="0"/>
          <w:sz w:val="32"/>
          <w:szCs w:val="32"/>
          <w:u w:val="none"/>
          <w:shd w:val="clear" w:color="auto" w:fill="FFFFFF"/>
          <w:lang w:val="en-US" w:eastAsia="zh-CN"/>
        </w:rPr>
      </w:pP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一是信息公开管理机制不完善，</w:t>
      </w:r>
      <w:r>
        <w:rPr>
          <w:rFonts w:hint="eastAsia" w:ascii="仿宋_GB2312" w:hAnsi="仿宋_GB2312" w:eastAsia="仿宋_GB2312" w:cs="仿宋_GB2312"/>
          <w:b w:val="0"/>
          <w:bCs w:val="0"/>
          <w:i w:val="0"/>
          <w:caps w:val="0"/>
          <w:color w:val="404040"/>
          <w:spacing w:val="0"/>
          <w:kern w:val="0"/>
          <w:sz w:val="32"/>
          <w:szCs w:val="32"/>
          <w:highlight w:val="none"/>
          <w:u w:val="none"/>
          <w:shd w:val="clear" w:color="auto" w:fill="FFFFFF"/>
          <w:lang w:val="en-US" w:eastAsia="zh-CN" w:bidi="ar"/>
        </w:rPr>
        <w:t>“建章+立制”亟待完善</w:t>
      </w: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。我街道将继续优化信息公开的工作流程，建立健全信息发布机制，并形成常态化的监督机制，遵循“提出、审核、公开、反馈、整改”的流程，规范操作，确保信息公开工作的规范性和有效性。</w:t>
      </w:r>
    </w:p>
    <w:p w14:paraId="7D72CFCD">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pPr>
      <w:r>
        <w:rPr>
          <w:rFonts w:hint="eastAsia" w:ascii="仿宋_GB2312" w:hAnsi="仿宋_GB2312" w:eastAsia="仿宋_GB2312" w:cs="仿宋_GB2312"/>
          <w:b w:val="0"/>
          <w:bCs w:val="0"/>
          <w:i w:val="0"/>
          <w:caps w:val="0"/>
          <w:color w:val="404040"/>
          <w:spacing w:val="0"/>
          <w:sz w:val="32"/>
          <w:szCs w:val="32"/>
          <w:u w:val="none"/>
          <w:shd w:val="clear" w:color="auto" w:fill="FFFFFF"/>
          <w:lang w:val="en-US" w:eastAsia="zh-CN"/>
        </w:rPr>
        <w:t>二是</w:t>
      </w: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主动公开信息更新不够及时，“互联网+政务”思维欠缺。对此我街道将加强街道内部与业务科室的沟通对接，及时更新区政府网站各项信息，同时</w:t>
      </w:r>
      <w:r>
        <w:rPr>
          <w:rFonts w:hint="eastAsia" w:ascii="仿宋_GB2312" w:hAnsi="仿宋_GB2312" w:eastAsia="仿宋_GB2312" w:cs="仿宋_GB2312"/>
          <w:b w:val="0"/>
          <w:bCs w:val="0"/>
          <w:i w:val="0"/>
          <w:caps w:val="0"/>
          <w:color w:val="404040"/>
          <w:spacing w:val="0"/>
          <w:sz w:val="32"/>
          <w:szCs w:val="32"/>
          <w:u w:val="none"/>
          <w:shd w:val="clear" w:color="auto" w:fill="FFFFFF"/>
          <w:lang w:val="en-US" w:eastAsia="zh-CN"/>
        </w:rPr>
        <w:t>继续加强对《中华人民共和国政府信息公开条例》的学习，自上而下培养政府信息公开意识。</w:t>
      </w:r>
    </w:p>
    <w:p w14:paraId="334B673B">
      <w:pPr>
        <w:ind w:firstLine="640"/>
        <w:rPr>
          <w:rFonts w:hint="default"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pP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三是信息公开</w:t>
      </w:r>
      <w:r>
        <w:rPr>
          <w:rFonts w:hint="default"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内容不够丰富</w:t>
      </w: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w:t>
      </w:r>
      <w:r>
        <w:rPr>
          <w:rFonts w:hint="default"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“深度</w:t>
      </w: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w:t>
      </w:r>
      <w:r>
        <w:rPr>
          <w:rFonts w:hint="default"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广度”</w:t>
      </w: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公开不足。我街道将拓宽公开渠道，多样传递信息，除传统的官方网站、公众号等形式外，探索利用社交媒体、移动应用、在线直播等渠道进行信息公开，完成多样化的公开形式转变。</w:t>
      </w:r>
    </w:p>
    <w:p w14:paraId="1D363390">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14:paraId="329872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lang w:val="en-US"/>
        </w:rPr>
      </w:pPr>
      <w:r>
        <w:rPr>
          <w:rFonts w:hint="eastAsia" w:ascii="仿宋_GB2312" w:hAnsi="仿宋_GB2312" w:eastAsia="仿宋_GB2312" w:cs="仿宋_GB2312"/>
          <w:b w:val="0"/>
          <w:bCs w:val="0"/>
          <w:i w:val="0"/>
          <w:caps w:val="0"/>
          <w:color w:val="404040"/>
          <w:spacing w:val="0"/>
          <w:kern w:val="0"/>
          <w:sz w:val="32"/>
          <w:szCs w:val="32"/>
          <w:u w:val="none"/>
          <w:shd w:val="clear" w:color="auto" w:fill="FFFFFF"/>
          <w:lang w:val="en-US" w:eastAsia="zh-CN" w:bidi="ar"/>
        </w:rPr>
        <w:t>本报告中所列数据的统计期限自2024年1月1日起，至2024年12月31日止。本报告的电子版可在北京市人民政府门户网站丰台区政府信息公开专栏下载。</w:t>
      </w:r>
    </w:p>
    <w:p w14:paraId="21CEFACF">
      <w:pPr>
        <w:widowControl/>
        <w:spacing w:line="560" w:lineRule="exact"/>
        <w:jc w:val="left"/>
        <w:rPr>
          <w:rFonts w:hint="eastAsia" w:ascii="仿宋_GB2312" w:hAnsi="宋体" w:eastAsia="仿宋_GB2312" w:cs="宋体"/>
          <w:color w:val="9BC2E6"/>
          <w:spacing w:val="8"/>
          <w:kern w:val="0"/>
          <w:sz w:val="32"/>
          <w:szCs w:val="32"/>
        </w:rPr>
      </w:pPr>
    </w:p>
    <w:p w14:paraId="39513303">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BCEC92-3C7D-46BC-B04D-406C7B6717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DF29524-8D79-4147-A583-A1A524DB9D5D}"/>
  </w:font>
  <w:font w:name="方正小标宋简体">
    <w:panose1 w:val="02000000000000000000"/>
    <w:charset w:val="86"/>
    <w:family w:val="auto"/>
    <w:pitch w:val="default"/>
    <w:sig w:usb0="00000001" w:usb1="08000000" w:usb2="00000000" w:usb3="00000000" w:csb0="00040000" w:csb1="00000000"/>
    <w:embedRegular r:id="rId3" w:fontKey="{2CC501D3-C1F1-479A-8388-05A0C2FEECA9}"/>
  </w:font>
  <w:font w:name="微软雅黑">
    <w:panose1 w:val="020B0503020204020204"/>
    <w:charset w:val="86"/>
    <w:family w:val="swiss"/>
    <w:pitch w:val="default"/>
    <w:sig w:usb0="80000287" w:usb1="2ACF3C50" w:usb2="00000016" w:usb3="00000000" w:csb0="0004001F" w:csb1="00000000"/>
    <w:embedRegular r:id="rId4" w:fontKey="{58034101-09B0-4466-B08E-716089CE832F}"/>
  </w:font>
  <w:font w:name="仿宋_GB2312">
    <w:altName w:val="仿宋"/>
    <w:panose1 w:val="02010609030101010101"/>
    <w:charset w:val="86"/>
    <w:family w:val="modern"/>
    <w:pitch w:val="default"/>
    <w:sig w:usb0="00000000" w:usb1="00000000" w:usb2="00000000" w:usb3="00000000" w:csb0="00040000" w:csb1="00000000"/>
    <w:embedRegular r:id="rId5" w:fontKey="{8DE9E49F-38D4-4A90-985B-E4DA4E96818A}"/>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6" w:fontKey="{D2029578-1CFF-401C-8A8E-7E01C58719FE}"/>
  </w:font>
  <w:font w:name="楷体">
    <w:panose1 w:val="02010609060101010101"/>
    <w:charset w:val="86"/>
    <w:family w:val="modern"/>
    <w:pitch w:val="default"/>
    <w:sig w:usb0="800002BF" w:usb1="38CF7CFA" w:usb2="00000016" w:usb3="00000000" w:csb0="00040001" w:csb1="00000000"/>
    <w:embedRegular r:id="rId7" w:fontKey="{B8A24E4C-F369-4BA3-B645-83DA814A2A1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4C6837"/>
    <w:rsid w:val="072D2F81"/>
    <w:rsid w:val="11236DB8"/>
    <w:rsid w:val="14DC131D"/>
    <w:rsid w:val="1926608C"/>
    <w:rsid w:val="1B991DD8"/>
    <w:rsid w:val="1D6E3558"/>
    <w:rsid w:val="22E639B9"/>
    <w:rsid w:val="235809CC"/>
    <w:rsid w:val="309433CE"/>
    <w:rsid w:val="38312F4A"/>
    <w:rsid w:val="3FEA1E76"/>
    <w:rsid w:val="44A228C8"/>
    <w:rsid w:val="466435C2"/>
    <w:rsid w:val="4F1171EB"/>
    <w:rsid w:val="5F61775C"/>
    <w:rsid w:val="61FC300A"/>
    <w:rsid w:val="6FE15C52"/>
    <w:rsid w:val="70384FF4"/>
    <w:rsid w:val="72E74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annotation text"/>
    <w:basedOn w:val="1"/>
    <w:qFormat/>
    <w:uiPriority w:val="0"/>
    <w:pPr>
      <w:jc w:val="left"/>
    </w:pPr>
  </w:style>
  <w:style w:type="paragraph" w:styleId="4">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1550</Words>
  <Characters>1602</Characters>
  <Lines>0</Lines>
  <Paragraphs>0</Paragraphs>
  <TotalTime>1</TotalTime>
  <ScaleCrop>false</ScaleCrop>
  <LinksUpToDate>false</LinksUpToDate>
  <CharactersWithSpaces>1610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李晓萱</cp:lastModifiedBy>
  <dcterms:modified xsi:type="dcterms:W3CDTF">2025-10-29T02:48:57Z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31C5D17819F1498F8E4E8D9291F55C7C_13</vt:lpwstr>
  </property>
  <property fmtid="{D5CDD505-2E9C-101B-9397-08002B2CF9AE}" pid="4" name="KSOTemplateDocerSaveRecord">
    <vt:lpwstr>eyJoZGlkIjoiM2ExNjY3Y2FiNTc5ODYzYTQxNDM1ZGQ0Yjk0ZmYxYTUiLCJ1c2VySWQiOiIxNjcxODQ2OTQwIn0=</vt:lpwstr>
  </property>
</Properties>
</file>