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  <w:u w:val="none"/>
          <w:shd w:val="clear" w:fill="FFFFFF"/>
        </w:rPr>
        <w:t>关于北京市丰台区政府办公室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  <w:u w:val="none"/>
          <w:shd w:val="clear" w:fill="FFFFFF"/>
        </w:rPr>
        <w:t>2019年“三公”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  <w:u w:val="none"/>
          <w:shd w:val="clear" w:fill="FFFFFF"/>
        </w:rPr>
        <w:t>经费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  <w:u w:val="none"/>
          <w:shd w:val="clear" w:fill="FFFFFF"/>
        </w:rPr>
        <w:t>预算财政拨款情况的说明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3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一、“三公”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经费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的单位范围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北京市丰台区政府办公室因公出国（境）费用、公务接待费、公务用车购置和运行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维护费开支单位包括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个行政单位和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个事业单位。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3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二、“三公”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经费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预算财政拨款情况说明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2019年“三公”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经费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财政拨款预算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万元，其中：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（一）因公出国（境）费用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2019年预算数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万元，同比无变化。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（二）公务接待费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2019年预算数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万元，同比无变化。此项经费由机关事务管理处统一管理。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（三）公务用车购置和运行维护费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2019年预算数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万元，同比无变化，此项经费由机关事务管理处统一管理。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三、其他事项说明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wZmZjOTc5NTQ5YTFkN2NhZTc2MzE3OWJhYjZhMTYifQ=="/>
    <w:docVar w:name="KSO_WPS_MARK_KEY" w:val="b03949a4-bc2d-47a3-ab02-5a0861c11df3"/>
  </w:docVars>
  <w:rsids>
    <w:rsidRoot w:val="1B412C40"/>
    <w:rsid w:val="1B412C40"/>
    <w:rsid w:val="2A19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282</Characters>
  <Lines>0</Lines>
  <Paragraphs>0</Paragraphs>
  <TotalTime>0</TotalTime>
  <ScaleCrop>false</ScaleCrop>
  <LinksUpToDate>false</LinksUpToDate>
  <CharactersWithSpaces>282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2021-06-15T07:16:00Z</dcterms:created>
  <dc:creator>琦</dc:creator>
  <cp:lastModifiedBy>血月舞殇</cp:lastModifiedBy>
  <dcterms:modified xsi:type="dcterms:W3CDTF">2025-05-26T07:44:27Z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C278AC543C594ABCAE5B9A954B14EA2F</vt:lpwstr>
  </property>
</Properties>
</file>