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sz w:val="32"/>
          <w:szCs w:val="32"/>
        </w:rPr>
      </w:pPr>
      <w:r>
        <w:rPr>
          <w:rFonts w:hint="eastAsia" w:asciiTheme="majorEastAsia" w:hAnsiTheme="majorEastAsia" w:eastAsiaTheme="majorEastAsia"/>
          <w:sz w:val="32"/>
          <w:szCs w:val="32"/>
        </w:rPr>
        <w:t>目录</w:t>
      </w:r>
    </w:p>
    <w:p>
      <w:pPr>
        <w:rPr>
          <w:rFonts w:hint="eastAsia" w:ascii="仿宋_GB2312" w:eastAsia="仿宋_GB2312"/>
          <w:b/>
          <w:bCs/>
          <w:sz w:val="30"/>
          <w:szCs w:val="30"/>
        </w:rPr>
      </w:pPr>
      <w:r>
        <w:rPr>
          <w:rFonts w:hint="eastAsia" w:ascii="仿宋_GB2312" w:eastAsia="仿宋_GB2312"/>
          <w:b/>
          <w:bCs/>
          <w:sz w:val="30"/>
          <w:szCs w:val="30"/>
        </w:rPr>
        <w:t>第一部分  2019年部门预算编制说明</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部门基本情况</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2019年收入及支出总体情况</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主要支出内容</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政府采购情况说明</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机关运行经费财政拨款预算安排说明</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行政事业性收费重点项目信息说明</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固定资产占用使用情况说明</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部门“三公”经费财政拨款预算说明</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预算绩效管理情况说明</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其他事项说明</w:t>
      </w:r>
    </w:p>
    <w:p>
      <w:pPr>
        <w:pStyle w:val="6"/>
        <w:numPr>
          <w:ilvl w:val="0"/>
          <w:numId w:val="1"/>
        </w:numPr>
        <w:ind w:firstLineChars="0"/>
        <w:rPr>
          <w:rFonts w:hint="eastAsia" w:ascii="仿宋_GB2312" w:eastAsia="仿宋_GB2312"/>
          <w:sz w:val="30"/>
          <w:szCs w:val="30"/>
        </w:rPr>
      </w:pPr>
      <w:r>
        <w:rPr>
          <w:rFonts w:hint="eastAsia" w:ascii="仿宋_GB2312" w:eastAsia="仿宋_GB2312"/>
          <w:sz w:val="30"/>
          <w:szCs w:val="30"/>
        </w:rPr>
        <w:t>专业名词解释</w:t>
      </w:r>
    </w:p>
    <w:p>
      <w:pPr>
        <w:rPr>
          <w:rFonts w:hint="eastAsia" w:ascii="仿宋_GB2312" w:eastAsia="仿宋_GB2312"/>
          <w:b/>
          <w:bCs/>
          <w:sz w:val="30"/>
          <w:szCs w:val="30"/>
        </w:rPr>
      </w:pPr>
      <w:r>
        <w:rPr>
          <w:rFonts w:hint="eastAsia" w:ascii="仿宋_GB2312" w:eastAsia="仿宋_GB2312"/>
          <w:b/>
          <w:bCs/>
          <w:sz w:val="30"/>
          <w:szCs w:val="30"/>
        </w:rPr>
        <w:t>第二部分  2019年部门预算表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部门预算编制说明</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收支预算总表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收入预算总表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支出预算总表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财政拨款收支预算总表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财政拨款收入预算总表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财政拨款支出总表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一般公共预算支出情况表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 xml:space="preserve">政府性基金预算支出 </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一般公共预算基本支出计划情况表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2019年“三公”经费预算财政拨款情况表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项目支出预算表</w:t>
      </w:r>
    </w:p>
    <w:p>
      <w:pPr>
        <w:pStyle w:val="6"/>
        <w:numPr>
          <w:ilvl w:val="0"/>
          <w:numId w:val="2"/>
        </w:numPr>
        <w:ind w:firstLineChars="0"/>
        <w:rPr>
          <w:rFonts w:hint="eastAsia" w:ascii="仿宋_GB2312" w:eastAsia="仿宋_GB2312"/>
          <w:sz w:val="30"/>
          <w:szCs w:val="30"/>
        </w:rPr>
      </w:pPr>
      <w:r>
        <w:rPr>
          <w:rFonts w:hint="eastAsia" w:ascii="仿宋_GB2312" w:eastAsia="仿宋_GB2312"/>
          <w:sz w:val="30"/>
          <w:szCs w:val="30"/>
        </w:rPr>
        <w:t>项目绩效目标表</w:t>
      </w:r>
    </w:p>
    <w:p>
      <w:pPr>
        <w:pStyle w:val="6"/>
        <w:widowControl w:val="0"/>
        <w:numPr>
          <w:ilvl w:val="0"/>
          <w:numId w:val="0"/>
        </w:numPr>
        <w:jc w:val="both"/>
        <w:rPr>
          <w:rFonts w:hint="eastAsia" w:ascii="仿宋_GB2312" w:eastAsia="仿宋_GB2312"/>
          <w:sz w:val="30"/>
          <w:szCs w:val="30"/>
        </w:rPr>
      </w:pPr>
    </w:p>
    <w:p>
      <w:pPr>
        <w:widowControl/>
        <w:spacing w:line="440" w:lineRule="exact"/>
        <w:jc w:val="center"/>
        <w:rPr>
          <w:rFonts w:hint="eastAsia" w:cs="宋体"/>
          <w:b/>
          <w:color w:val="000000"/>
          <w:spacing w:val="15"/>
          <w:kern w:val="0"/>
          <w:sz w:val="36"/>
          <w:szCs w:val="36"/>
        </w:rPr>
      </w:pPr>
    </w:p>
    <w:p>
      <w:pPr>
        <w:widowControl/>
        <w:spacing w:line="440" w:lineRule="exact"/>
        <w:jc w:val="center"/>
        <w:rPr>
          <w:rFonts w:hint="eastAsia" w:cs="宋体"/>
          <w:b/>
          <w:color w:val="000000"/>
          <w:spacing w:val="15"/>
          <w:kern w:val="0"/>
          <w:sz w:val="36"/>
          <w:szCs w:val="36"/>
        </w:rPr>
      </w:pPr>
      <w:r>
        <w:rPr>
          <w:rFonts w:hint="eastAsia" w:cs="宋体"/>
          <w:b/>
          <w:color w:val="000000"/>
          <w:spacing w:val="15"/>
          <w:kern w:val="0"/>
          <w:sz w:val="36"/>
          <w:szCs w:val="36"/>
        </w:rPr>
        <w:t>北京市丰台区食品药品安全委员会办公室</w:t>
      </w:r>
    </w:p>
    <w:p>
      <w:pPr>
        <w:widowControl/>
        <w:spacing w:line="440" w:lineRule="exact"/>
        <w:jc w:val="center"/>
        <w:rPr>
          <w:rFonts w:ascii="宋体" w:hAnsi="宋体" w:cs="宋体"/>
          <w:b/>
          <w:color w:val="000000"/>
          <w:spacing w:val="15"/>
          <w:kern w:val="0"/>
          <w:sz w:val="36"/>
          <w:szCs w:val="36"/>
        </w:rPr>
      </w:pPr>
      <w:r>
        <w:rPr>
          <w:rFonts w:hint="eastAsia" w:ascii="宋体" w:hAnsi="宋体" w:cs="宋体"/>
          <w:b/>
          <w:color w:val="000000"/>
          <w:spacing w:val="15"/>
          <w:kern w:val="0"/>
          <w:sz w:val="36"/>
          <w:szCs w:val="36"/>
        </w:rPr>
        <w:t>2019</w:t>
      </w:r>
      <w:r>
        <w:rPr>
          <w:rFonts w:hint="eastAsia" w:cs="宋体"/>
          <w:b/>
          <w:color w:val="000000"/>
          <w:spacing w:val="15"/>
          <w:kern w:val="0"/>
          <w:sz w:val="36"/>
          <w:szCs w:val="36"/>
        </w:rPr>
        <w:t>年部门预算情况说明</w:t>
      </w:r>
    </w:p>
    <w:p>
      <w:pPr>
        <w:widowControl/>
        <w:spacing w:line="440" w:lineRule="exact"/>
        <w:jc w:val="left"/>
        <w:rPr>
          <w:rFonts w:ascii="宋体" w:hAnsi="宋体" w:cs="宋体"/>
          <w:color w:val="000000"/>
          <w:spacing w:val="15"/>
          <w:kern w:val="0"/>
          <w:sz w:val="32"/>
          <w:szCs w:val="32"/>
        </w:rPr>
      </w:pPr>
    </w:p>
    <w:p>
      <w:pPr>
        <w:widowControl/>
        <w:adjustRightInd w:val="0"/>
        <w:spacing w:line="440" w:lineRule="exact"/>
        <w:jc w:val="left"/>
        <w:rPr>
          <w:rFonts w:ascii="仿宋_GB2312" w:hAnsi="宋体" w:eastAsia="仿宋_GB2312" w:cs="宋体"/>
          <w:b/>
          <w:color w:val="000000"/>
          <w:spacing w:val="15"/>
          <w:kern w:val="0"/>
          <w:sz w:val="32"/>
          <w:szCs w:val="32"/>
        </w:rPr>
      </w:pPr>
      <w:r>
        <w:rPr>
          <w:rFonts w:ascii="宋体" w:hAnsi="宋体" w:cs="宋体"/>
          <w:b/>
          <w:color w:val="000000"/>
          <w:spacing w:val="15"/>
          <w:kern w:val="0"/>
          <w:sz w:val="24"/>
        </w:rPr>
        <w:t xml:space="preserve">  </w:t>
      </w:r>
      <w:r>
        <w:rPr>
          <w:rFonts w:hint="eastAsia" w:ascii="仿宋_GB2312" w:hAnsi="宋体" w:eastAsia="仿宋_GB2312" w:cs="宋体"/>
          <w:b/>
          <w:color w:val="000000"/>
          <w:spacing w:val="15"/>
          <w:kern w:val="0"/>
          <w:sz w:val="30"/>
          <w:szCs w:val="30"/>
        </w:rPr>
        <w:t xml:space="preserve"> </w:t>
      </w:r>
      <w:r>
        <w:rPr>
          <w:rFonts w:hint="eastAsia" w:ascii="仿宋_GB2312" w:hAnsi="宋体" w:eastAsia="仿宋_GB2312" w:cs="宋体"/>
          <w:b/>
          <w:color w:val="000000"/>
          <w:spacing w:val="15"/>
          <w:kern w:val="0"/>
          <w:sz w:val="32"/>
          <w:szCs w:val="32"/>
        </w:rPr>
        <w:t xml:space="preserve"> 一、北京市丰台区食品药品安全委员会办公室部门基本情况</w:t>
      </w:r>
    </w:p>
    <w:p>
      <w:pPr>
        <w:widowControl/>
        <w:adjustRightInd w:val="0"/>
        <w:spacing w:line="440" w:lineRule="exact"/>
        <w:ind w:firstLine="700" w:firstLineChars="200"/>
        <w:jc w:val="left"/>
        <w:rPr>
          <w:rFonts w:hint="eastAsia" w:ascii="仿宋_GB2312" w:hAnsi="仿宋" w:eastAsia="仿宋_GB2312"/>
          <w:sz w:val="32"/>
          <w:szCs w:val="32"/>
        </w:rPr>
      </w:pPr>
      <w:r>
        <w:rPr>
          <w:rFonts w:hint="eastAsia" w:ascii="仿宋_GB2312" w:hAnsi="宋体" w:eastAsia="仿宋_GB2312" w:cs="宋体"/>
          <w:color w:val="000000"/>
          <w:spacing w:val="15"/>
          <w:kern w:val="0"/>
          <w:sz w:val="32"/>
          <w:szCs w:val="32"/>
        </w:rPr>
        <w:t>主要职能为：</w:t>
      </w:r>
      <w:r>
        <w:rPr>
          <w:rFonts w:hint="eastAsia" w:ascii="仿宋_GB2312" w:hAnsi="仿宋" w:eastAsia="仿宋_GB2312"/>
          <w:sz w:val="32"/>
          <w:szCs w:val="32"/>
        </w:rPr>
        <w:t>在区政府的领导下，统一领导、组织、协调本区食品药品安全工作，统一部署食品药品安全专项整治等重大活动，统筹、协调、解决食品药品安全工作中的重大问题，完善、推进食品药品安全长效监管机制建设，督促、检查丰台区食品药品安全委员会各成员单位、各街乡镇落实食品药品安全监管责任。</w:t>
      </w:r>
    </w:p>
    <w:p>
      <w:pPr>
        <w:widowControl/>
        <w:adjustRightInd w:val="0"/>
        <w:spacing w:line="440" w:lineRule="exact"/>
        <w:ind w:firstLine="640" w:firstLineChars="200"/>
        <w:jc w:val="left"/>
        <w:rPr>
          <w:rFonts w:hint="eastAsia" w:ascii="仿宋_GB2312" w:hAnsi="宋体" w:eastAsia="仿宋_GB2312" w:cs="宋体"/>
          <w:color w:val="000000"/>
          <w:spacing w:val="15"/>
          <w:kern w:val="0"/>
          <w:sz w:val="32"/>
          <w:szCs w:val="32"/>
        </w:rPr>
      </w:pPr>
      <w:r>
        <w:rPr>
          <w:rFonts w:hint="eastAsia" w:ascii="仿宋_GB2312" w:hAnsi="仿宋" w:eastAsia="仿宋_GB2312"/>
          <w:sz w:val="32"/>
          <w:szCs w:val="32"/>
        </w:rPr>
        <w:t>丰台区食品药品安全委员会办公室设在北京市丰台区食品药品监督管理局，承担丰台区食品药品安全委员会的具体工作。</w:t>
      </w:r>
    </w:p>
    <w:p>
      <w:pPr>
        <w:widowControl/>
        <w:adjustRightInd w:val="0"/>
        <w:spacing w:line="44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共包含行政单位 1 个（含行政执法机构 1 个），事业单位 0 个。截至2018年底，共有行政编制0人，实际0人；事业编制0人，实际0人；离退休人员0人。</w:t>
      </w:r>
    </w:p>
    <w:p>
      <w:pPr>
        <w:widowControl/>
        <w:adjustRightInd w:val="0"/>
        <w:spacing w:line="440" w:lineRule="exact"/>
        <w:jc w:val="left"/>
        <w:rPr>
          <w:rFonts w:hint="eastAsia" w:ascii="仿宋_GB2312" w:hAnsi="宋体" w:eastAsia="仿宋_GB2312" w:cs="宋体"/>
          <w:b/>
          <w:color w:val="000000"/>
          <w:spacing w:val="15"/>
          <w:kern w:val="0"/>
          <w:sz w:val="32"/>
          <w:szCs w:val="32"/>
        </w:rPr>
      </w:pPr>
      <w:r>
        <w:rPr>
          <w:rFonts w:ascii="宋体" w:hAnsi="宋体" w:cs="宋体"/>
          <w:b/>
          <w:color w:val="000000"/>
          <w:spacing w:val="15"/>
          <w:kern w:val="0"/>
          <w:sz w:val="32"/>
          <w:szCs w:val="32"/>
        </w:rPr>
        <w:t xml:space="preserve">  </w:t>
      </w:r>
      <w:r>
        <w:rPr>
          <w:rFonts w:hint="eastAsia" w:ascii="仿宋_GB2312" w:hAnsi="宋体" w:eastAsia="仿宋_GB2312" w:cs="宋体"/>
          <w:b/>
          <w:color w:val="000000"/>
          <w:spacing w:val="15"/>
          <w:kern w:val="0"/>
          <w:sz w:val="32"/>
          <w:szCs w:val="32"/>
        </w:rPr>
        <w:t xml:space="preserve">  二、2019年收入及支出总体情况</w:t>
      </w:r>
    </w:p>
    <w:p>
      <w:pPr>
        <w:widowControl/>
        <w:adjustRightInd w:val="0"/>
        <w:spacing w:line="44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2019年部门收入预算2200.938753 万元，同比2018年减少1643.801647 万元，减少42.75 %，其中：财政拨款2200.938753万元，上级补助收入 0 万元，事业收入 0 万元，经营收入 0 万元，附属单位缴款 0 万元，其他收入 0 万元，用事业基金弥补收支差额 0 万元，上年结转和结余 0 万元。</w:t>
      </w:r>
    </w:p>
    <w:p>
      <w:pPr>
        <w:widowControl/>
        <w:adjustRightInd w:val="0"/>
        <w:spacing w:line="440" w:lineRule="exact"/>
        <w:ind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2019年部门支出预算2200.938753万元，比2018年减少1643.801647万元，减少42.75 %，其中基本支出预算 0 万元，项目支出预算2200.938753万元。按支出功能分类，一般公共服务支出2150.008785万元, 灾害防治及应急管理支出50.929968万元。</w:t>
      </w:r>
    </w:p>
    <w:p>
      <w:pPr>
        <w:widowControl/>
        <w:adjustRightInd w:val="0"/>
        <w:spacing w:line="440" w:lineRule="exact"/>
        <w:jc w:val="left"/>
        <w:rPr>
          <w:rFonts w:hint="eastAsia" w:ascii="仿宋_GB2312" w:hAnsi="宋体" w:eastAsia="仿宋_GB2312" w:cs="宋体"/>
          <w:b/>
          <w:color w:val="000000"/>
          <w:spacing w:val="15"/>
          <w:kern w:val="0"/>
          <w:sz w:val="32"/>
          <w:szCs w:val="32"/>
        </w:rPr>
      </w:pPr>
      <w:r>
        <w:rPr>
          <w:rFonts w:ascii="宋体" w:hAnsi="宋体" w:cs="宋体"/>
          <w:b/>
          <w:color w:val="000000"/>
          <w:spacing w:val="15"/>
          <w:kern w:val="0"/>
          <w:sz w:val="32"/>
          <w:szCs w:val="32"/>
        </w:rPr>
        <w:t xml:space="preserve">  </w:t>
      </w:r>
      <w:r>
        <w:rPr>
          <w:rFonts w:hint="eastAsia" w:ascii="仿宋_GB2312" w:hAnsi="宋体" w:eastAsia="仿宋_GB2312" w:cs="宋体"/>
          <w:b/>
          <w:color w:val="000000"/>
          <w:spacing w:val="15"/>
          <w:kern w:val="0"/>
          <w:sz w:val="32"/>
          <w:szCs w:val="32"/>
        </w:rPr>
        <w:t xml:space="preserve">  三、主要支出内容</w:t>
      </w:r>
    </w:p>
    <w:p>
      <w:pPr>
        <w:widowControl/>
        <w:adjustRightInd w:val="0"/>
        <w:spacing w:line="440" w:lineRule="exact"/>
        <w:ind w:firstLine="875" w:firstLineChars="25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上述支出中，主要用于以下内容：</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1、食品药品安全监察员及专职安全员经费；</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2、房租及水电物业取暖费；</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3、举报奖励经费；</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4、基层党组织工作和活动经费。</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5、罚没物品处置经费。</w:t>
      </w:r>
    </w:p>
    <w:p>
      <w:pPr>
        <w:widowControl/>
        <w:adjustRightInd w:val="0"/>
        <w:spacing w:line="440" w:lineRule="exact"/>
        <w:ind w:left="160" w:leftChars="76" w:firstLine="703" w:firstLineChars="200"/>
        <w:jc w:val="left"/>
        <w:rPr>
          <w:rFonts w:hint="eastAsia"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四、政府采购情况说明</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2019年政府采购预算总额为 0 万元，其中：政府采购货物预算 0 万元，政府采购工程预算 0 万元，政府采购服务预算 0 万元。</w:t>
      </w:r>
    </w:p>
    <w:p>
      <w:pPr>
        <w:widowControl/>
        <w:adjustRightInd w:val="0"/>
        <w:spacing w:line="440" w:lineRule="exact"/>
        <w:ind w:left="160" w:leftChars="76" w:firstLine="703" w:firstLineChars="200"/>
        <w:jc w:val="left"/>
        <w:rPr>
          <w:rFonts w:hint="eastAsia"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五、机关运行经费财政拨款预算安排说明</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2019年本部门行政单位（含参照公务员法管理事业单位）履行一般行政管理职能、维持机关运行，用财政拨款安排的基本支出中的日常公用经费合计 0 万元。</w:t>
      </w:r>
    </w:p>
    <w:p>
      <w:pPr>
        <w:widowControl/>
        <w:adjustRightInd w:val="0"/>
        <w:spacing w:line="440" w:lineRule="exact"/>
        <w:ind w:left="160" w:leftChars="76" w:firstLine="703" w:firstLineChars="200"/>
        <w:jc w:val="left"/>
        <w:rPr>
          <w:rFonts w:hint="eastAsia"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六、行政事业性收费重点项目信息说明</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2019年本部门无行政事业性收费项目。</w:t>
      </w:r>
    </w:p>
    <w:p>
      <w:pPr>
        <w:widowControl/>
        <w:adjustRightInd w:val="0"/>
        <w:spacing w:line="440" w:lineRule="exact"/>
        <w:ind w:firstLine="878" w:firstLineChars="250"/>
        <w:jc w:val="left"/>
        <w:rPr>
          <w:rFonts w:hint="eastAsia"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七、固定资产占用使用情况说明</w:t>
      </w:r>
    </w:p>
    <w:p>
      <w:pPr>
        <w:widowControl/>
        <w:adjustRightInd w:val="0"/>
        <w:spacing w:line="440" w:lineRule="exact"/>
        <w:ind w:firstLine="875" w:firstLineChars="25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我单位无固定资产。</w:t>
      </w:r>
    </w:p>
    <w:p>
      <w:pPr>
        <w:widowControl/>
        <w:adjustRightInd w:val="0"/>
        <w:spacing w:line="440" w:lineRule="exact"/>
        <w:ind w:firstLine="878" w:firstLineChars="250"/>
        <w:jc w:val="left"/>
        <w:rPr>
          <w:rFonts w:hint="eastAsia"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八、部门“三公”经费财政拨款预算说明</w:t>
      </w:r>
    </w:p>
    <w:p>
      <w:pPr>
        <w:widowControl/>
        <w:adjustRightInd w:val="0"/>
        <w:spacing w:line="440" w:lineRule="exact"/>
        <w:ind w:firstLine="875" w:firstLineChars="25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我单位无“三公”经费财政拨款。</w:t>
      </w:r>
    </w:p>
    <w:p>
      <w:pPr>
        <w:widowControl/>
        <w:adjustRightInd w:val="0"/>
        <w:spacing w:line="440" w:lineRule="exact"/>
        <w:ind w:firstLine="878" w:firstLineChars="250"/>
        <w:jc w:val="left"/>
        <w:rPr>
          <w:rFonts w:hint="eastAsia"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九、预算绩效管理情况说明</w:t>
      </w:r>
    </w:p>
    <w:p>
      <w:pPr>
        <w:widowControl/>
        <w:adjustRightInd w:val="0"/>
        <w:spacing w:line="440" w:lineRule="exact"/>
        <w:ind w:firstLine="875" w:firstLineChars="25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2019年我单位填报绩效目标的预算项目3个，占本部门全部预算项目9个的33.33%。填报绩效目标的项目支出预算1996.557535万元，占本部门全部项目支出预算的90.71%。</w:t>
      </w:r>
    </w:p>
    <w:p>
      <w:pPr>
        <w:widowControl/>
        <w:adjustRightInd w:val="0"/>
        <w:spacing w:line="440" w:lineRule="exact"/>
        <w:ind w:firstLine="878" w:firstLineChars="250"/>
        <w:jc w:val="left"/>
        <w:rPr>
          <w:rFonts w:hint="eastAsia"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十、其他事项说明</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1、我单位本次公开范围仅包含丰台区财政资金安排的预算收支情况</w:t>
      </w:r>
    </w:p>
    <w:p>
      <w:pPr>
        <w:widowControl/>
        <w:adjustRightInd w:val="0"/>
        <w:spacing w:line="440" w:lineRule="exact"/>
        <w:ind w:left="160" w:leftChars="76" w:firstLine="700" w:firstLineChars="200"/>
        <w:jc w:val="left"/>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2、丰台区财政资金不安排“三公”经费。</w:t>
      </w:r>
    </w:p>
    <w:p>
      <w:pPr>
        <w:widowControl/>
        <w:adjustRightInd w:val="0"/>
        <w:spacing w:line="440" w:lineRule="exact"/>
        <w:ind w:firstLine="861" w:firstLineChars="245"/>
        <w:rPr>
          <w:rFonts w:hint="eastAsia" w:ascii="仿宋_GB2312" w:hAnsi="宋体" w:eastAsia="仿宋_GB2312" w:cs="宋体"/>
          <w:b/>
          <w:color w:val="000000"/>
          <w:spacing w:val="15"/>
          <w:kern w:val="0"/>
          <w:sz w:val="32"/>
          <w:szCs w:val="32"/>
        </w:rPr>
      </w:pPr>
      <w:r>
        <w:rPr>
          <w:rFonts w:hint="eastAsia" w:ascii="仿宋_GB2312" w:hAnsi="宋体" w:eastAsia="仿宋_GB2312" w:cs="宋体"/>
          <w:b/>
          <w:color w:val="000000"/>
          <w:spacing w:val="15"/>
          <w:kern w:val="0"/>
          <w:sz w:val="32"/>
          <w:szCs w:val="32"/>
        </w:rPr>
        <w:t>十一、专业名词解释</w:t>
      </w:r>
    </w:p>
    <w:p>
      <w:pPr>
        <w:widowControl/>
        <w:adjustRightInd w:val="0"/>
        <w:spacing w:line="440" w:lineRule="exact"/>
        <w:ind w:firstLine="753" w:firstLineChars="250"/>
        <w:rPr>
          <w:rFonts w:hint="eastAsia" w:ascii="仿宋_GB2312" w:hAnsi="宋体" w:eastAsia="仿宋_GB2312" w:cs="宋体"/>
          <w:b/>
          <w:color w:val="000000"/>
          <w:spacing w:val="15"/>
          <w:kern w:val="0"/>
          <w:sz w:val="32"/>
          <w:szCs w:val="32"/>
        </w:rPr>
      </w:pPr>
      <w:r>
        <w:rPr>
          <w:rFonts w:hint="eastAsia" w:ascii="仿宋_GB2312" w:hAnsi="Calibri" w:eastAsia="仿宋_GB2312"/>
          <w:b/>
          <w:sz w:val="30"/>
          <w:szCs w:val="30"/>
        </w:rPr>
        <w:t>预算：</w:t>
      </w:r>
      <w:r>
        <w:rPr>
          <w:rFonts w:hint="eastAsia" w:ascii="仿宋_GB2312" w:hAnsi="Calibri" w:eastAsia="仿宋_GB2312"/>
          <w:sz w:val="30"/>
          <w:szCs w:val="30"/>
        </w:rPr>
        <w:t>指遵循统筹兼顾、勤俭节约、量力而行、讲求绩效和收支平衡的原则编制，经法定程序审核批准的国家年度集中性财政收支计划。政府的全部收入和支出都应当纳入预算，地方各级预算一般不列赤字。</w:t>
      </w:r>
    </w:p>
    <w:p>
      <w:pPr>
        <w:widowControl/>
        <w:adjustRightInd w:val="0"/>
        <w:spacing w:line="440" w:lineRule="exact"/>
        <w:ind w:firstLine="753" w:firstLineChars="250"/>
        <w:jc w:val="left"/>
        <w:rPr>
          <w:rFonts w:hint="eastAsia" w:ascii="仿宋_GB2312" w:hAnsi="Calibri" w:eastAsia="仿宋_GB2312"/>
          <w:sz w:val="30"/>
          <w:szCs w:val="30"/>
        </w:rPr>
      </w:pPr>
      <w:r>
        <w:rPr>
          <w:rFonts w:hint="eastAsia" w:ascii="仿宋_GB2312" w:hAnsi="Calibri" w:eastAsia="仿宋_GB2312"/>
          <w:b/>
          <w:sz w:val="30"/>
          <w:szCs w:val="30"/>
        </w:rPr>
        <w:t>部门预算:</w:t>
      </w:r>
      <w:r>
        <w:rPr>
          <w:rFonts w:hint="eastAsia" w:ascii="仿宋_GB2312" w:hAnsi="Calibri" w:eastAsia="仿宋_GB2312"/>
          <w:sz w:val="30"/>
          <w:szCs w:val="30"/>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bookmarkStart w:id="0" w:name="_GoBack"/>
      <w:bookmarkEnd w:id="0"/>
    </w:p>
    <w:p>
      <w:pPr>
        <w:widowControl/>
        <w:adjustRightInd w:val="0"/>
        <w:spacing w:line="440" w:lineRule="exact"/>
        <w:ind w:firstLine="753" w:firstLineChars="250"/>
        <w:jc w:val="left"/>
        <w:rPr>
          <w:rFonts w:hint="eastAsia" w:ascii="仿宋_GB2312" w:hAnsi="Calibri" w:eastAsia="仿宋_GB2312"/>
          <w:sz w:val="30"/>
          <w:szCs w:val="30"/>
        </w:rPr>
      </w:pPr>
      <w:r>
        <w:rPr>
          <w:rFonts w:hint="eastAsia" w:ascii="仿宋_GB2312" w:hAnsi="Calibri" w:eastAsia="仿宋_GB2312"/>
          <w:b/>
          <w:sz w:val="30"/>
          <w:szCs w:val="30"/>
        </w:rPr>
        <w:t xml:space="preserve">政府采购: </w:t>
      </w:r>
      <w:r>
        <w:rPr>
          <w:rFonts w:hint="eastAsia" w:ascii="仿宋_GB2312" w:hAnsi="Calibri" w:eastAsia="仿宋_GB2312"/>
          <w:sz w:val="30"/>
          <w:szCs w:val="30"/>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spacing w:line="480" w:lineRule="exact"/>
        <w:ind w:firstLine="602" w:firstLineChars="200"/>
        <w:rPr>
          <w:rFonts w:hint="eastAsia" w:ascii="仿宋_GB2312" w:hAnsi="宋体" w:eastAsia="仿宋_GB2312" w:cs="宋体"/>
          <w:color w:val="000000"/>
          <w:spacing w:val="15"/>
          <w:kern w:val="0"/>
          <w:sz w:val="32"/>
          <w:szCs w:val="32"/>
        </w:rPr>
      </w:pPr>
      <w:r>
        <w:rPr>
          <w:rFonts w:hint="eastAsia" w:ascii="仿宋_GB2312" w:hAnsi="Calibri" w:eastAsia="仿宋_GB2312"/>
          <w:b/>
          <w:sz w:val="30"/>
          <w:szCs w:val="30"/>
        </w:rPr>
        <w:t>“三公”经费：</w:t>
      </w:r>
      <w:r>
        <w:rPr>
          <w:rFonts w:hint="eastAsia" w:ascii="仿宋_GB2312" w:hAnsi="Calibri" w:eastAsia="仿宋_GB2312"/>
          <w:sz w:val="30"/>
          <w:szCs w:val="30"/>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pStyle w:val="6"/>
        <w:widowControl w:val="0"/>
        <w:numPr>
          <w:ilvl w:val="0"/>
          <w:numId w:val="0"/>
        </w:numPr>
        <w:jc w:val="both"/>
        <w:rPr>
          <w:rFonts w:hint="eastAsia" w:ascii="仿宋_GB2312"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20498E"/>
    <w:multiLevelType w:val="multilevel"/>
    <w:tmpl w:val="2E20498E"/>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73108D1"/>
    <w:multiLevelType w:val="multilevel"/>
    <w:tmpl w:val="373108D1"/>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8cfd72f7-9d3a-436c-9d8c-abd1f44d2a55"/>
  </w:docVars>
  <w:rsids>
    <w:rsidRoot w:val="008C5017"/>
    <w:rsid w:val="007D72BC"/>
    <w:rsid w:val="008C5017"/>
    <w:rsid w:val="00FD5689"/>
    <w:rsid w:val="07613BA9"/>
    <w:rsid w:val="39CC7849"/>
    <w:rsid w:val="749C05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1733</Words>
  <Characters>1884</Characters>
  <Lines>2</Lines>
  <Paragraphs>1</Paragraphs>
  <TotalTime>0</TotalTime>
  <ScaleCrop>false</ScaleCrop>
  <LinksUpToDate>false</LinksUpToDate>
  <CharactersWithSpaces>1939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2021-06-23T07:48:00Z</dcterms:created>
  <dc:creator>y</dc:creator>
  <cp:lastModifiedBy>血月舞殇</cp:lastModifiedBy>
  <dcterms:modified xsi:type="dcterms:W3CDTF">2025-03-31T02:38:34Z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17B910D0DEA14766A738F3772934756B</vt:lpwstr>
  </property>
</Properties>
</file>