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4A0BE" w14:textId="77777777" w:rsidR="0027384A" w:rsidRDefault="00000000">
      <w:pPr>
        <w:spacing w:line="360" w:lineRule="auto"/>
        <w:jc w:val="center"/>
        <w:rPr>
          <w:b/>
          <w:sz w:val="32"/>
        </w:rPr>
      </w:pPr>
      <w:r>
        <w:rPr>
          <w:rFonts w:hint="eastAsia"/>
          <w:b/>
          <w:sz w:val="32"/>
        </w:rPr>
        <w:t>高品质规划引领高质量发展，妙笔生花看丰台</w:t>
      </w:r>
    </w:p>
    <w:p w14:paraId="7E97757B" w14:textId="77777777" w:rsidR="0027384A" w:rsidRDefault="00000000">
      <w:pPr>
        <w:spacing w:line="360" w:lineRule="auto"/>
        <w:jc w:val="right"/>
        <w:rPr>
          <w:rFonts w:ascii="仿宋_GB2312" w:eastAsia="仿宋_GB2312" w:hAnsi="仿宋" w:cs="仿宋"/>
          <w:sz w:val="24"/>
          <w:szCs w:val="32"/>
        </w:rPr>
      </w:pPr>
      <w:r>
        <w:rPr>
          <w:rFonts w:hint="eastAsia"/>
          <w:b/>
          <w:sz w:val="32"/>
        </w:rPr>
        <w:t>——</w:t>
      </w:r>
      <w:r>
        <w:rPr>
          <w:rFonts w:ascii="仿宋_GB2312" w:eastAsia="仿宋_GB2312" w:hAnsi="仿宋" w:cs="仿宋" w:hint="eastAsia"/>
          <w:sz w:val="24"/>
          <w:szCs w:val="32"/>
        </w:rPr>
        <w:t>《丰台分区规划（国土空间规划）（2017年-2035年）》政策解读</w:t>
      </w:r>
    </w:p>
    <w:p w14:paraId="1382F56F" w14:textId="77777777" w:rsidR="0027384A" w:rsidRDefault="0027384A">
      <w:pPr>
        <w:spacing w:line="360" w:lineRule="auto"/>
        <w:jc w:val="left"/>
        <w:rPr>
          <w:b/>
          <w:sz w:val="32"/>
        </w:rPr>
      </w:pPr>
    </w:p>
    <w:p w14:paraId="220E5FA5"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2019年11月20日，北京市人民政府正式批复《丰台分区规划（国土空间规划）（2017年-2035年）》（以下简称《丰台分区规划》）。《丰台分区规划》以习近平新时代中国特色社会主义思想为指导，深入贯彻习近平总书记对北京重要讲话精神，牢固树立新发展理念，坚持以人民为中心，立足京津冀协同发展，全面深化落实《北京城市总体规划（2016年-2035年）》（以下简称《总体规划》），注重长远发展，注重减量集约，注重生态保护，注重多</w:t>
      </w:r>
      <w:proofErr w:type="gramStart"/>
      <w:r>
        <w:rPr>
          <w:rFonts w:ascii="仿宋_GB2312" w:eastAsia="仿宋_GB2312" w:hAnsi="仿宋" w:cs="仿宋" w:hint="eastAsia"/>
          <w:sz w:val="24"/>
          <w:szCs w:val="32"/>
        </w:rPr>
        <w:t>规</w:t>
      </w:r>
      <w:proofErr w:type="gramEnd"/>
      <w:r>
        <w:rPr>
          <w:rFonts w:ascii="仿宋_GB2312" w:eastAsia="仿宋_GB2312" w:hAnsi="仿宋" w:cs="仿宋" w:hint="eastAsia"/>
          <w:sz w:val="24"/>
          <w:szCs w:val="32"/>
        </w:rPr>
        <w:t>合一，体现了丰台区实际情况和发展要求，对促进实现城市总体规划发展目标和推动丰台区高质量发展具有重要意义。</w:t>
      </w:r>
    </w:p>
    <w:p w14:paraId="1C77F8E3"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面对</w:t>
      </w:r>
      <w:r>
        <w:rPr>
          <w:rFonts w:ascii="仿宋_GB2312" w:eastAsia="仿宋_GB2312" w:hAnsi="仿宋" w:cs="仿宋"/>
          <w:sz w:val="24"/>
          <w:szCs w:val="32"/>
        </w:rPr>
        <w:t>疏解与</w:t>
      </w:r>
      <w:r>
        <w:rPr>
          <w:rFonts w:ascii="仿宋_GB2312" w:eastAsia="仿宋_GB2312" w:hAnsi="仿宋" w:cs="仿宋" w:hint="eastAsia"/>
          <w:sz w:val="24"/>
          <w:szCs w:val="32"/>
        </w:rPr>
        <w:t>提升</w:t>
      </w:r>
      <w:r>
        <w:rPr>
          <w:rFonts w:ascii="仿宋_GB2312" w:eastAsia="仿宋_GB2312" w:hAnsi="仿宋" w:cs="仿宋"/>
          <w:sz w:val="24"/>
          <w:szCs w:val="32"/>
        </w:rPr>
        <w:t>、减量与发展、</w:t>
      </w:r>
      <w:r>
        <w:rPr>
          <w:rFonts w:ascii="仿宋_GB2312" w:eastAsia="仿宋_GB2312" w:hAnsi="仿宋" w:cs="仿宋" w:hint="eastAsia"/>
          <w:sz w:val="24"/>
          <w:szCs w:val="32"/>
        </w:rPr>
        <w:t>建设</w:t>
      </w:r>
      <w:r>
        <w:rPr>
          <w:rFonts w:ascii="仿宋_GB2312" w:eastAsia="仿宋_GB2312" w:hAnsi="仿宋" w:cs="仿宋"/>
          <w:sz w:val="24"/>
          <w:szCs w:val="32"/>
        </w:rPr>
        <w:t>与生态、存量与更新</w:t>
      </w:r>
      <w:r>
        <w:rPr>
          <w:rFonts w:ascii="仿宋_GB2312" w:eastAsia="仿宋_GB2312" w:hAnsi="仿宋" w:cs="仿宋" w:hint="eastAsia"/>
          <w:sz w:val="24"/>
          <w:szCs w:val="32"/>
        </w:rPr>
        <w:t>等方面</w:t>
      </w:r>
      <w:r>
        <w:rPr>
          <w:rFonts w:ascii="仿宋_GB2312" w:eastAsia="仿宋_GB2312" w:hAnsi="仿宋" w:cs="仿宋"/>
          <w:sz w:val="24"/>
          <w:szCs w:val="32"/>
        </w:rPr>
        <w:t>的</w:t>
      </w:r>
      <w:r>
        <w:rPr>
          <w:rFonts w:ascii="仿宋_GB2312" w:eastAsia="仿宋_GB2312" w:hAnsi="仿宋" w:cs="仿宋" w:hint="eastAsia"/>
          <w:sz w:val="24"/>
          <w:szCs w:val="32"/>
        </w:rPr>
        <w:t>发展</w:t>
      </w:r>
      <w:r>
        <w:rPr>
          <w:rFonts w:ascii="仿宋_GB2312" w:eastAsia="仿宋_GB2312" w:hAnsi="仿宋" w:cs="仿宋"/>
          <w:sz w:val="24"/>
          <w:szCs w:val="32"/>
        </w:rPr>
        <w:t>机遇与挑战，</w:t>
      </w:r>
      <w:r>
        <w:rPr>
          <w:rFonts w:ascii="仿宋_GB2312" w:eastAsia="仿宋_GB2312" w:hAnsi="仿宋" w:cs="仿宋" w:hint="eastAsia"/>
          <w:sz w:val="24"/>
          <w:szCs w:val="32"/>
        </w:rPr>
        <w:t>丰台</w:t>
      </w:r>
      <w:r>
        <w:rPr>
          <w:rFonts w:ascii="仿宋_GB2312" w:eastAsia="仿宋_GB2312" w:hAnsi="仿宋" w:cs="仿宋"/>
          <w:sz w:val="24"/>
          <w:szCs w:val="32"/>
        </w:rPr>
        <w:t>分区规划</w:t>
      </w:r>
      <w:r>
        <w:rPr>
          <w:rFonts w:ascii="仿宋_GB2312" w:eastAsia="仿宋_GB2312" w:hAnsi="仿宋" w:cs="仿宋" w:hint="eastAsia"/>
          <w:sz w:val="24"/>
          <w:szCs w:val="32"/>
        </w:rPr>
        <w:t>从十二个方面入手，擘画丰台区国土空间发展的指南、可持续发展的空间蓝图，推动全区生产空间集约高效、生活空间宜居适度和生态空间山清水秀，引领全区实现更高质量发展</w:t>
      </w:r>
      <w:r>
        <w:rPr>
          <w:rFonts w:ascii="仿宋_GB2312" w:eastAsia="仿宋_GB2312" w:hAnsi="仿宋" w:cs="仿宋"/>
          <w:sz w:val="24"/>
          <w:szCs w:val="32"/>
        </w:rPr>
        <w:t>。</w:t>
      </w:r>
    </w:p>
    <w:p w14:paraId="4193DBEE" w14:textId="77777777" w:rsidR="0027384A" w:rsidRDefault="00000000">
      <w:pPr>
        <w:pStyle w:val="1"/>
        <w:numPr>
          <w:ilvl w:val="0"/>
          <w:numId w:val="1"/>
        </w:numPr>
      </w:pPr>
      <w:r>
        <w:rPr>
          <w:rFonts w:hint="eastAsia"/>
        </w:rPr>
        <w:t>落实定位，推动功能疏解</w:t>
      </w:r>
    </w:p>
    <w:p w14:paraId="60690D87"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着眼新时代首都发展的新要求、新期待，牢牢把握首都商务新区、科技创新和金融服务的融合发展区、首都高品质生活服务供给的重要保障区、高水平对外综合交通枢纽的功能定位，着力提升首都功能，把丰台区建设成为新时代高质量发展的典范城区。</w:t>
      </w:r>
    </w:p>
    <w:p w14:paraId="3938EC9A"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坚持首善标准，紧紧抓住</w:t>
      </w:r>
      <w:proofErr w:type="gramStart"/>
      <w:r>
        <w:rPr>
          <w:rFonts w:ascii="仿宋_GB2312" w:eastAsia="仿宋_GB2312" w:hAnsi="仿宋" w:cs="仿宋" w:hint="eastAsia"/>
          <w:sz w:val="24"/>
          <w:szCs w:val="32"/>
        </w:rPr>
        <w:t>疏解非首都</w:t>
      </w:r>
      <w:proofErr w:type="gramEnd"/>
      <w:r>
        <w:rPr>
          <w:rFonts w:ascii="仿宋_GB2312" w:eastAsia="仿宋_GB2312" w:hAnsi="仿宋" w:cs="仿宋" w:hint="eastAsia"/>
          <w:sz w:val="24"/>
          <w:szCs w:val="32"/>
        </w:rPr>
        <w:t>功能这个“牛鼻子”，把疏解整治促提升作为解决丰台发展问题的金钥匙，将</w:t>
      </w:r>
      <w:proofErr w:type="gramStart"/>
      <w:r>
        <w:rPr>
          <w:rFonts w:ascii="仿宋_GB2312" w:eastAsia="仿宋_GB2312" w:hAnsi="仿宋" w:cs="仿宋" w:hint="eastAsia"/>
          <w:sz w:val="24"/>
          <w:szCs w:val="32"/>
        </w:rPr>
        <w:t>非首都</w:t>
      </w:r>
      <w:proofErr w:type="gramEnd"/>
      <w:r>
        <w:rPr>
          <w:rFonts w:ascii="仿宋_GB2312" w:eastAsia="仿宋_GB2312" w:hAnsi="仿宋" w:cs="仿宋" w:hint="eastAsia"/>
          <w:sz w:val="24"/>
          <w:szCs w:val="32"/>
        </w:rPr>
        <w:t>功能疏解、城市综合治理与人口调控捆绑推进，完善功能承接体系。深化南苑-大红门地区</w:t>
      </w:r>
      <w:proofErr w:type="gramStart"/>
      <w:r>
        <w:rPr>
          <w:rFonts w:ascii="仿宋_GB2312" w:eastAsia="仿宋_GB2312" w:hAnsi="仿宋" w:cs="仿宋" w:hint="eastAsia"/>
          <w:sz w:val="24"/>
          <w:szCs w:val="32"/>
        </w:rPr>
        <w:t>疏整促</w:t>
      </w:r>
      <w:proofErr w:type="gramEnd"/>
      <w:r>
        <w:rPr>
          <w:rFonts w:ascii="仿宋_GB2312" w:eastAsia="仿宋_GB2312" w:hAnsi="仿宋" w:cs="仿宋" w:hint="eastAsia"/>
          <w:sz w:val="24"/>
          <w:szCs w:val="32"/>
        </w:rPr>
        <w:t>工作，结合用地疏解更新，加快推动地区业态转型升级，持续推动疏解整治促提升专项行动的纵深实施。以城市更新为抓手，推进生态修复与城市修补，疏解腾退空间优先用于服务保障首都功能和补充民生短板，推动文化发展与科技创新，以疏解带动城市品质提升。</w:t>
      </w:r>
    </w:p>
    <w:p w14:paraId="57D9B3C0" w14:textId="77777777" w:rsidR="0027384A" w:rsidRDefault="00000000">
      <w:pPr>
        <w:pStyle w:val="1"/>
        <w:numPr>
          <w:ilvl w:val="0"/>
          <w:numId w:val="1"/>
        </w:numPr>
      </w:pPr>
      <w:r>
        <w:rPr>
          <w:rFonts w:hint="eastAsia"/>
        </w:rPr>
        <w:lastRenderedPageBreak/>
        <w:t>全新目标，实现高质量发展</w:t>
      </w:r>
    </w:p>
    <w:p w14:paraId="55D1A47D" w14:textId="77777777" w:rsidR="0027384A" w:rsidRDefault="00000000">
      <w:pPr>
        <w:spacing w:line="360" w:lineRule="auto"/>
        <w:jc w:val="left"/>
        <w:rPr>
          <w:rFonts w:ascii="仿宋_GB2312" w:eastAsia="仿宋_GB2312" w:hAnsi="仿宋" w:cs="仿宋"/>
          <w:sz w:val="24"/>
          <w:szCs w:val="32"/>
        </w:rPr>
      </w:pPr>
      <w:r>
        <w:rPr>
          <w:rFonts w:ascii="仿宋_GB2312" w:eastAsia="仿宋_GB2312" w:hAnsi="仿宋" w:cs="仿宋" w:hint="eastAsia"/>
          <w:sz w:val="24"/>
          <w:szCs w:val="32"/>
        </w:rPr>
        <w:t xml:space="preserve">    在首都城市布局中，丰台区既是“一主”，又占“一轴”，丰台分区规划强调了丰台区在服务国家和首都战略大局中所承担的重大使命，要求深刻把握首都发展要义，强化“四个中心”功能建设，提高“四个服务”水平，以减量、提质、增绿为重点，建设北京未来发展的“金角银边”，全面实现经济社会高质量发展（图1）。</w:t>
      </w:r>
    </w:p>
    <w:p w14:paraId="66A04425" w14:textId="77777777" w:rsidR="0027384A" w:rsidRDefault="00000000">
      <w:pPr>
        <w:spacing w:line="360" w:lineRule="auto"/>
        <w:jc w:val="center"/>
        <w:rPr>
          <w:rFonts w:ascii="仿宋_GB2312" w:eastAsia="仿宋_GB2312" w:hAnsi="仿宋" w:cs="仿宋"/>
          <w:sz w:val="24"/>
          <w:szCs w:val="32"/>
        </w:rPr>
      </w:pPr>
      <w:r>
        <w:rPr>
          <w:rFonts w:ascii="仿宋_GB2312" w:eastAsia="仿宋_GB2312" w:hAnsi="仿宋" w:cs="仿宋"/>
          <w:noProof/>
          <w:sz w:val="24"/>
          <w:szCs w:val="32"/>
        </w:rPr>
        <w:drawing>
          <wp:inline distT="0" distB="0" distL="0" distR="0" wp14:anchorId="02C95D3F" wp14:editId="020AD9F6">
            <wp:extent cx="4780280" cy="2334260"/>
            <wp:effectExtent l="19050" t="0" r="1270" b="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6" cstate="print">
                      <a:extLst>
                        <a:ext uri="{28A0092B-C50C-407E-A947-70E740481C1C}">
                          <a14:useLocalDpi xmlns:a14="http://schemas.microsoft.com/office/drawing/2010/main" val="0"/>
                        </a:ext>
                      </a:extLst>
                    </a:blip>
                    <a:srcRect l="4759" t="18761" r="4646" b="18590"/>
                    <a:stretch>
                      <a:fillRect/>
                    </a:stretch>
                  </pic:blipFill>
                  <pic:spPr>
                    <a:xfrm>
                      <a:off x="0" y="0"/>
                      <a:ext cx="4780280" cy="2334491"/>
                    </a:xfrm>
                    <a:prstGeom prst="rect">
                      <a:avLst/>
                    </a:prstGeom>
                  </pic:spPr>
                </pic:pic>
              </a:graphicData>
            </a:graphic>
          </wp:inline>
        </w:drawing>
      </w:r>
    </w:p>
    <w:p w14:paraId="2D633F7F" w14:textId="77777777" w:rsidR="0027384A" w:rsidRDefault="00000000">
      <w:pPr>
        <w:spacing w:line="360" w:lineRule="auto"/>
        <w:jc w:val="center"/>
        <w:rPr>
          <w:rFonts w:ascii="仿宋_GB2312" w:eastAsia="仿宋_GB2312" w:hAnsi="仿宋" w:cs="仿宋"/>
          <w:b/>
          <w:bCs/>
          <w:sz w:val="18"/>
          <w:szCs w:val="18"/>
        </w:rPr>
      </w:pPr>
      <w:r>
        <w:rPr>
          <w:rFonts w:ascii="仿宋_GB2312" w:eastAsia="仿宋_GB2312" w:hAnsi="仿宋" w:cs="仿宋" w:hint="eastAsia"/>
          <w:b/>
          <w:bCs/>
          <w:sz w:val="18"/>
          <w:szCs w:val="18"/>
        </w:rPr>
        <w:t>图1 丰台区区位图</w:t>
      </w:r>
    </w:p>
    <w:p w14:paraId="5387AEDF"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把丰台区建设成为新时代首都功能拓展的重要城区、首都高品质生活宜居示范城区、彰显新发展理念的绿色生态花园城区、具有国际竞争力的智能制造创新区、具有全球影响力的金融发展新区、具有国际先进水平的首都商务新区，推动南北均衡发展，打造首都发展新的增长极，实现各项工作上台阶。</w:t>
      </w:r>
    </w:p>
    <w:p w14:paraId="174C82A5" w14:textId="77777777" w:rsidR="0027384A" w:rsidRDefault="00000000">
      <w:pPr>
        <w:pStyle w:val="1"/>
        <w:numPr>
          <w:ilvl w:val="0"/>
          <w:numId w:val="1"/>
        </w:numPr>
      </w:pPr>
      <w:r>
        <w:rPr>
          <w:rFonts w:hint="eastAsia"/>
        </w:rPr>
        <w:t>底线管控，优化城乡空间</w:t>
      </w:r>
    </w:p>
    <w:p w14:paraId="6D3CC16A"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落实各项底线管控与减量任务，把握首都发展、减量提质、创新驱动、改善民生的要求，统筹三生空间，全面提升城区的综合承载力与核心竞争力，实现</w:t>
      </w:r>
      <w:r>
        <w:rPr>
          <w:rFonts w:ascii="仿宋_GB2312" w:eastAsia="仿宋_GB2312" w:hAnsi="仿宋" w:cs="仿宋"/>
          <w:sz w:val="24"/>
          <w:szCs w:val="32"/>
        </w:rPr>
        <w:t>高质量发展、减量</w:t>
      </w:r>
      <w:r>
        <w:rPr>
          <w:rFonts w:ascii="仿宋_GB2312" w:eastAsia="仿宋_GB2312" w:hAnsi="仿宋" w:cs="仿宋" w:hint="eastAsia"/>
          <w:sz w:val="24"/>
          <w:szCs w:val="32"/>
        </w:rPr>
        <w:t>提质发展、创新发展和可持续发展。加强人口规模调控，引导人口合理分布，</w:t>
      </w:r>
      <w:r>
        <w:rPr>
          <w:rFonts w:ascii="仿宋_GB2312" w:eastAsia="仿宋_GB2312" w:hAnsi="仿宋" w:cs="仿宋"/>
          <w:sz w:val="24"/>
          <w:szCs w:val="32"/>
        </w:rPr>
        <w:t>到</w:t>
      </w:r>
      <w:r>
        <w:rPr>
          <w:rFonts w:ascii="仿宋_GB2312" w:eastAsia="仿宋_GB2312" w:hAnsi="仿宋" w:cs="仿宋" w:hint="eastAsia"/>
          <w:sz w:val="24"/>
          <w:szCs w:val="32"/>
        </w:rPr>
        <w:t>2035年，常住人口规模调控至195.5万人左右。</w:t>
      </w:r>
      <w:r>
        <w:rPr>
          <w:rFonts w:ascii="仿宋_GB2312" w:eastAsia="仿宋_GB2312" w:hAnsi="仿宋" w:cs="仿宋"/>
          <w:sz w:val="24"/>
          <w:szCs w:val="32"/>
        </w:rPr>
        <w:t>坚守建设用地规模底线</w:t>
      </w:r>
      <w:r>
        <w:rPr>
          <w:rFonts w:ascii="仿宋_GB2312" w:eastAsia="仿宋_GB2312" w:hAnsi="仿宋" w:cs="仿宋" w:hint="eastAsia"/>
          <w:sz w:val="24"/>
          <w:szCs w:val="32"/>
        </w:rPr>
        <w:t>，</w:t>
      </w:r>
      <w:r>
        <w:rPr>
          <w:rFonts w:ascii="仿宋_GB2312" w:eastAsia="仿宋_GB2312" w:hAnsi="仿宋" w:cs="仿宋"/>
          <w:sz w:val="24"/>
          <w:szCs w:val="32"/>
        </w:rPr>
        <w:t>严格落实土地用途管制制度</w:t>
      </w:r>
      <w:r>
        <w:rPr>
          <w:rFonts w:ascii="仿宋_GB2312" w:eastAsia="仿宋_GB2312" w:hAnsi="仿宋" w:cs="仿宋" w:hint="eastAsia"/>
          <w:sz w:val="24"/>
          <w:szCs w:val="32"/>
        </w:rPr>
        <w:t>，到</w:t>
      </w:r>
      <w:r>
        <w:rPr>
          <w:rFonts w:ascii="仿宋_GB2312" w:eastAsia="仿宋_GB2312" w:hAnsi="仿宋" w:cs="仿宋"/>
          <w:sz w:val="24"/>
          <w:szCs w:val="32"/>
        </w:rPr>
        <w:t>20</w:t>
      </w:r>
      <w:r>
        <w:rPr>
          <w:rFonts w:ascii="仿宋_GB2312" w:eastAsia="仿宋_GB2312" w:hAnsi="仿宋" w:cs="仿宋" w:hint="eastAsia"/>
          <w:sz w:val="24"/>
          <w:szCs w:val="32"/>
        </w:rPr>
        <w:t>35</w:t>
      </w:r>
      <w:r>
        <w:rPr>
          <w:rFonts w:ascii="仿宋_GB2312" w:eastAsia="仿宋_GB2312" w:hAnsi="仿宋" w:cs="仿宋"/>
          <w:sz w:val="24"/>
          <w:szCs w:val="32"/>
        </w:rPr>
        <w:t>年</w:t>
      </w:r>
      <w:r>
        <w:rPr>
          <w:rFonts w:ascii="仿宋_GB2312" w:eastAsia="仿宋_GB2312" w:hAnsi="仿宋" w:cs="仿宋" w:hint="eastAsia"/>
          <w:sz w:val="24"/>
          <w:szCs w:val="32"/>
        </w:rPr>
        <w:t>，全区城乡</w:t>
      </w:r>
      <w:r>
        <w:rPr>
          <w:rFonts w:ascii="仿宋_GB2312" w:eastAsia="仿宋_GB2312" w:hAnsi="仿宋" w:cs="仿宋"/>
          <w:sz w:val="24"/>
          <w:szCs w:val="32"/>
        </w:rPr>
        <w:t>建设用地总规模</w:t>
      </w:r>
      <w:r>
        <w:rPr>
          <w:rFonts w:ascii="仿宋_GB2312" w:eastAsia="仿宋_GB2312" w:hAnsi="仿宋" w:cs="仿宋" w:hint="eastAsia"/>
          <w:sz w:val="24"/>
          <w:szCs w:val="32"/>
        </w:rPr>
        <w:t>减少到173</w:t>
      </w:r>
      <w:r>
        <w:rPr>
          <w:rFonts w:ascii="仿宋_GB2312" w:eastAsia="仿宋_GB2312" w:hAnsi="仿宋" w:cs="仿宋"/>
          <w:sz w:val="24"/>
          <w:szCs w:val="32"/>
        </w:rPr>
        <w:t>平方公里</w:t>
      </w:r>
      <w:r>
        <w:rPr>
          <w:rFonts w:ascii="仿宋_GB2312" w:eastAsia="仿宋_GB2312" w:hAnsi="仿宋" w:cs="仿宋" w:hint="eastAsia"/>
          <w:sz w:val="24"/>
          <w:szCs w:val="32"/>
        </w:rPr>
        <w:t>以内，并同步做好建筑规模调控引导。</w:t>
      </w:r>
    </w:p>
    <w:p w14:paraId="4ED4F8AB" w14:textId="77777777" w:rsidR="0027384A" w:rsidRDefault="00000000">
      <w:pPr>
        <w:adjustRightInd w:val="0"/>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统筹河东与河西地区联动发展，重构“一轴、两带、四区、多点”的城市空</w:t>
      </w:r>
      <w:r>
        <w:rPr>
          <w:rFonts w:ascii="仿宋_GB2312" w:eastAsia="仿宋_GB2312" w:hAnsi="仿宋" w:cs="仿宋" w:hint="eastAsia"/>
          <w:sz w:val="24"/>
          <w:szCs w:val="32"/>
        </w:rPr>
        <w:lastRenderedPageBreak/>
        <w:t>间结构（图2）。</w:t>
      </w:r>
      <w:r>
        <w:rPr>
          <w:rFonts w:ascii="仿宋_GB2312" w:eastAsia="仿宋_GB2312" w:hAnsi="仿宋" w:cs="仿宋"/>
          <w:sz w:val="24"/>
          <w:szCs w:val="32"/>
        </w:rPr>
        <w:t>一轴，即</w:t>
      </w:r>
      <w:r>
        <w:rPr>
          <w:rFonts w:ascii="仿宋_GB2312" w:eastAsia="仿宋_GB2312" w:hAnsi="仿宋" w:cs="仿宋" w:hint="eastAsia"/>
          <w:sz w:val="24"/>
          <w:szCs w:val="32"/>
        </w:rPr>
        <w:t>南中轴丰台段。</w:t>
      </w:r>
      <w:r>
        <w:rPr>
          <w:rFonts w:ascii="仿宋_GB2312" w:eastAsia="仿宋_GB2312" w:hAnsi="仿宋" w:cs="仿宋"/>
          <w:sz w:val="24"/>
          <w:szCs w:val="32"/>
        </w:rPr>
        <w:t>两带，即永定河文化带和生态融合发展带</w:t>
      </w:r>
      <w:r>
        <w:rPr>
          <w:rFonts w:ascii="仿宋_GB2312" w:eastAsia="仿宋_GB2312" w:hAnsi="仿宋" w:cs="仿宋" w:hint="eastAsia"/>
          <w:sz w:val="24"/>
          <w:szCs w:val="32"/>
        </w:rPr>
        <w:t>。四区，</w:t>
      </w:r>
      <w:proofErr w:type="gramStart"/>
      <w:r>
        <w:rPr>
          <w:rFonts w:ascii="仿宋_GB2312" w:eastAsia="仿宋_GB2312" w:hAnsi="仿宋" w:cs="仿宋" w:hint="eastAsia"/>
          <w:sz w:val="24"/>
          <w:szCs w:val="32"/>
        </w:rPr>
        <w:t>即首都</w:t>
      </w:r>
      <w:proofErr w:type="gramEnd"/>
      <w:r>
        <w:rPr>
          <w:rFonts w:ascii="仿宋_GB2312" w:eastAsia="仿宋_GB2312" w:hAnsi="仿宋" w:cs="仿宋" w:hint="eastAsia"/>
          <w:sz w:val="24"/>
          <w:szCs w:val="32"/>
        </w:rPr>
        <w:t>商务新区、丽泽金融商务区、中关村丰台园区、卢沟桥国家文化公园区。</w:t>
      </w:r>
      <w:r>
        <w:rPr>
          <w:rFonts w:ascii="仿宋_GB2312" w:eastAsia="仿宋_GB2312" w:hAnsi="仿宋" w:cs="仿宋"/>
          <w:sz w:val="24"/>
          <w:szCs w:val="32"/>
        </w:rPr>
        <w:t>多点，包括交通枢纽、生活保障和人文生态三大类城市功能节点地区。</w:t>
      </w:r>
    </w:p>
    <w:p w14:paraId="5B548705" w14:textId="77777777" w:rsidR="0027384A" w:rsidRDefault="00000000">
      <w:pPr>
        <w:adjustRightInd w:val="0"/>
        <w:spacing w:line="360" w:lineRule="auto"/>
        <w:jc w:val="center"/>
        <w:rPr>
          <w:rFonts w:ascii="仿宋_GB2312" w:eastAsia="仿宋_GB2312" w:hAnsi="仿宋" w:cs="仿宋"/>
          <w:sz w:val="24"/>
          <w:szCs w:val="32"/>
        </w:rPr>
      </w:pPr>
      <w:r>
        <w:rPr>
          <w:rFonts w:ascii="仿宋_GB2312" w:eastAsia="仿宋_GB2312" w:hAnsi="仿宋" w:cs="仿宋" w:hint="eastAsia"/>
          <w:noProof/>
          <w:sz w:val="24"/>
          <w:szCs w:val="32"/>
        </w:rPr>
        <w:drawing>
          <wp:inline distT="0" distB="0" distL="0" distR="0" wp14:anchorId="75585BF4" wp14:editId="59CC8935">
            <wp:extent cx="4698365" cy="2440305"/>
            <wp:effectExtent l="19050" t="0" r="6928" b="0"/>
            <wp:docPr id="14" name="图片 13" descr="图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图片1.jpg"/>
                    <pic:cNvPicPr>
                      <a:picLocks noChangeAspect="1"/>
                    </pic:cNvPicPr>
                  </pic:nvPicPr>
                  <pic:blipFill>
                    <a:blip r:embed="rId7" cstate="print"/>
                    <a:stretch>
                      <a:fillRect/>
                    </a:stretch>
                  </pic:blipFill>
                  <pic:spPr>
                    <a:xfrm>
                      <a:off x="0" y="0"/>
                      <a:ext cx="4696515" cy="2439858"/>
                    </a:xfrm>
                    <a:prstGeom prst="rect">
                      <a:avLst/>
                    </a:prstGeom>
                  </pic:spPr>
                </pic:pic>
              </a:graphicData>
            </a:graphic>
          </wp:inline>
        </w:drawing>
      </w:r>
    </w:p>
    <w:p w14:paraId="54CCAEEB" w14:textId="77777777" w:rsidR="0027384A" w:rsidRDefault="00000000">
      <w:pPr>
        <w:adjustRightInd w:val="0"/>
        <w:spacing w:line="360" w:lineRule="auto"/>
        <w:ind w:firstLine="360"/>
        <w:jc w:val="center"/>
        <w:rPr>
          <w:rFonts w:ascii="仿宋_GB2312" w:eastAsia="仿宋_GB2312" w:hAnsi="仿宋" w:cs="仿宋"/>
          <w:b/>
          <w:bCs/>
          <w:sz w:val="18"/>
          <w:szCs w:val="18"/>
        </w:rPr>
      </w:pPr>
      <w:r>
        <w:rPr>
          <w:rFonts w:ascii="仿宋_GB2312" w:eastAsia="仿宋_GB2312" w:hAnsi="仿宋" w:cs="仿宋" w:hint="eastAsia"/>
          <w:b/>
          <w:bCs/>
          <w:sz w:val="18"/>
          <w:szCs w:val="18"/>
        </w:rPr>
        <w:t>图2 空间结构规划图</w:t>
      </w:r>
    </w:p>
    <w:p w14:paraId="4B5F60FC" w14:textId="77777777" w:rsidR="0027384A" w:rsidRDefault="00000000">
      <w:pPr>
        <w:pStyle w:val="1"/>
        <w:numPr>
          <w:ilvl w:val="0"/>
          <w:numId w:val="1"/>
        </w:numPr>
      </w:pPr>
      <w:r>
        <w:rPr>
          <w:rFonts w:hint="eastAsia"/>
        </w:rPr>
        <w:t>一轴两带，彰显高端引领</w:t>
      </w:r>
    </w:p>
    <w:p w14:paraId="251887CE"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南中轴丰台段是首都城市空间格局的重要组成部分，是带动城市南部地区崛起的生态文化发展轴，是未来拓展首都功能的重点地区（图3）。将建设成为中华文化自信的重要彰显区、大国首都功能的新兴承载区、北京南城崛起的核心引领区、生态文明城市建设的样板区、</w:t>
      </w:r>
      <w:proofErr w:type="gramStart"/>
      <w:r>
        <w:rPr>
          <w:rFonts w:ascii="仿宋_GB2312" w:eastAsia="仿宋_GB2312" w:hAnsi="仿宋" w:cs="仿宋" w:hint="eastAsia"/>
          <w:sz w:val="24"/>
          <w:szCs w:val="32"/>
        </w:rPr>
        <w:t>和谐宜</w:t>
      </w:r>
      <w:proofErr w:type="gramEnd"/>
      <w:r>
        <w:rPr>
          <w:rFonts w:ascii="仿宋_GB2312" w:eastAsia="仿宋_GB2312" w:hAnsi="仿宋" w:cs="仿宋" w:hint="eastAsia"/>
          <w:sz w:val="24"/>
          <w:szCs w:val="32"/>
        </w:rPr>
        <w:t>居城市建设的示范区。</w:t>
      </w:r>
    </w:p>
    <w:p w14:paraId="391E9EA9" w14:textId="77777777" w:rsidR="0027384A" w:rsidRDefault="00000000">
      <w:pPr>
        <w:spacing w:line="360" w:lineRule="auto"/>
        <w:jc w:val="center"/>
        <w:rPr>
          <w:rFonts w:ascii="仿宋_GB2312" w:eastAsia="仿宋_GB2312" w:hAnsi="仿宋" w:cs="仿宋"/>
          <w:sz w:val="24"/>
          <w:szCs w:val="32"/>
        </w:rPr>
      </w:pPr>
      <w:r>
        <w:rPr>
          <w:rFonts w:ascii="仿宋_GB2312" w:eastAsia="仿宋_GB2312" w:hAnsi="仿宋" w:cs="仿宋"/>
          <w:noProof/>
          <w:sz w:val="24"/>
          <w:szCs w:val="32"/>
        </w:rPr>
        <w:drawing>
          <wp:inline distT="0" distB="0" distL="0" distR="0" wp14:anchorId="16B8AC45" wp14:editId="45B589C4">
            <wp:extent cx="4991735" cy="2500630"/>
            <wp:effectExtent l="19050" t="0" r="0" b="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91874" cy="2500745"/>
                    </a:xfrm>
                    <a:prstGeom prst="rect">
                      <a:avLst/>
                    </a:prstGeom>
                  </pic:spPr>
                </pic:pic>
              </a:graphicData>
            </a:graphic>
          </wp:inline>
        </w:drawing>
      </w:r>
    </w:p>
    <w:p w14:paraId="66B99568" w14:textId="77777777" w:rsidR="0027384A" w:rsidRDefault="00000000">
      <w:pPr>
        <w:spacing w:line="360" w:lineRule="auto"/>
        <w:ind w:firstLineChars="200" w:firstLine="361"/>
        <w:jc w:val="center"/>
        <w:rPr>
          <w:rFonts w:ascii="仿宋_GB2312" w:eastAsia="仿宋_GB2312" w:hAnsi="仿宋" w:cs="仿宋"/>
          <w:b/>
          <w:bCs/>
          <w:sz w:val="18"/>
          <w:szCs w:val="18"/>
        </w:rPr>
      </w:pPr>
      <w:r>
        <w:rPr>
          <w:rFonts w:ascii="仿宋_GB2312" w:eastAsia="仿宋_GB2312" w:hAnsi="仿宋" w:cs="仿宋" w:hint="eastAsia"/>
          <w:b/>
          <w:bCs/>
          <w:sz w:val="18"/>
          <w:szCs w:val="18"/>
        </w:rPr>
        <w:t xml:space="preserve">图3 </w:t>
      </w:r>
      <w:r>
        <w:rPr>
          <w:rFonts w:ascii="仿宋_GB2312" w:eastAsia="仿宋_GB2312" w:hAnsi="仿宋" w:cs="仿宋"/>
          <w:b/>
          <w:bCs/>
          <w:sz w:val="18"/>
          <w:szCs w:val="18"/>
        </w:rPr>
        <w:t>南中轴</w:t>
      </w:r>
    </w:p>
    <w:p w14:paraId="78A592B7" w14:textId="77777777" w:rsidR="0027384A" w:rsidRDefault="00000000">
      <w:pPr>
        <w:spacing w:line="360" w:lineRule="auto"/>
        <w:ind w:firstLineChars="200" w:firstLine="480"/>
        <w:jc w:val="left"/>
        <w:rPr>
          <w:rFonts w:ascii="仿宋_GB2312" w:eastAsia="仿宋_GB2312" w:hAnsi="仿宋" w:cs="仿宋"/>
          <w:sz w:val="18"/>
          <w:szCs w:val="18"/>
        </w:rPr>
      </w:pPr>
      <w:r>
        <w:rPr>
          <w:rFonts w:ascii="仿宋_GB2312" w:eastAsia="仿宋_GB2312" w:hAnsi="仿宋" w:cs="仿宋" w:hint="eastAsia"/>
          <w:sz w:val="24"/>
          <w:szCs w:val="32"/>
        </w:rPr>
        <w:lastRenderedPageBreak/>
        <w:t>永定河文化带是北京历史文化名城保护体系中“西山永定河文化带”的丰台段，是城市唤醒山水记忆、</w:t>
      </w:r>
      <w:proofErr w:type="gramStart"/>
      <w:r>
        <w:rPr>
          <w:rFonts w:ascii="仿宋_GB2312" w:eastAsia="仿宋_GB2312" w:hAnsi="仿宋" w:cs="仿宋" w:hint="eastAsia"/>
          <w:sz w:val="24"/>
          <w:szCs w:val="32"/>
        </w:rPr>
        <w:t>彰显家国</w:t>
      </w:r>
      <w:proofErr w:type="gramEnd"/>
      <w:r>
        <w:rPr>
          <w:rFonts w:ascii="仿宋_GB2312" w:eastAsia="仿宋_GB2312" w:hAnsi="仿宋" w:cs="仿宋" w:hint="eastAsia"/>
          <w:sz w:val="24"/>
          <w:szCs w:val="32"/>
        </w:rPr>
        <w:t>情怀、享受绿色生态的典范地区（图4）。生态融合发展带是丰台绿色生态空间的主动脉，是连通永定河两岸、串联重要城市节点，织补两侧城市空间，引领城市功能与历史文化、绿色生态融合发展的重要地区。</w:t>
      </w:r>
    </w:p>
    <w:p w14:paraId="02FA71D1" w14:textId="77777777" w:rsidR="0027384A" w:rsidRDefault="00000000">
      <w:pPr>
        <w:spacing w:line="360" w:lineRule="auto"/>
        <w:jc w:val="center"/>
        <w:rPr>
          <w:rFonts w:ascii="仿宋_GB2312" w:eastAsia="仿宋_GB2312" w:hAnsi="仿宋" w:cs="仿宋"/>
          <w:sz w:val="24"/>
          <w:szCs w:val="32"/>
        </w:rPr>
      </w:pPr>
      <w:r>
        <w:rPr>
          <w:rFonts w:ascii="仿宋_GB2312" w:eastAsia="仿宋_GB2312" w:hAnsi="仿宋" w:cs="仿宋"/>
          <w:noProof/>
          <w:sz w:val="24"/>
          <w:szCs w:val="32"/>
        </w:rPr>
        <w:drawing>
          <wp:inline distT="0" distB="0" distL="0" distR="0" wp14:anchorId="6072EE9B" wp14:editId="3438984F">
            <wp:extent cx="5274310" cy="2007870"/>
            <wp:effectExtent l="0" t="0" r="25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cstate="print"/>
                    <a:stretch>
                      <a:fillRect/>
                    </a:stretch>
                  </pic:blipFill>
                  <pic:spPr>
                    <a:xfrm>
                      <a:off x="0" y="0"/>
                      <a:ext cx="5274310" cy="2008389"/>
                    </a:xfrm>
                    <a:prstGeom prst="rect">
                      <a:avLst/>
                    </a:prstGeom>
                  </pic:spPr>
                </pic:pic>
              </a:graphicData>
            </a:graphic>
          </wp:inline>
        </w:drawing>
      </w:r>
    </w:p>
    <w:p w14:paraId="5CED11CD" w14:textId="77777777" w:rsidR="0027384A" w:rsidRDefault="00000000">
      <w:pPr>
        <w:spacing w:line="360" w:lineRule="auto"/>
        <w:jc w:val="center"/>
        <w:rPr>
          <w:rFonts w:ascii="仿宋_GB2312" w:eastAsia="仿宋_GB2312" w:hAnsi="仿宋" w:cs="仿宋"/>
          <w:b/>
          <w:bCs/>
          <w:sz w:val="24"/>
          <w:szCs w:val="32"/>
        </w:rPr>
      </w:pPr>
      <w:r>
        <w:rPr>
          <w:rFonts w:ascii="仿宋_GB2312" w:eastAsia="仿宋_GB2312" w:hAnsi="仿宋" w:cs="仿宋" w:hint="eastAsia"/>
          <w:b/>
          <w:bCs/>
          <w:sz w:val="18"/>
          <w:szCs w:val="18"/>
        </w:rPr>
        <w:t>图4 生态融合发展带</w:t>
      </w:r>
    </w:p>
    <w:p w14:paraId="0DD0CC21" w14:textId="77777777" w:rsidR="0027384A" w:rsidRDefault="00000000">
      <w:pPr>
        <w:pStyle w:val="1"/>
        <w:numPr>
          <w:ilvl w:val="0"/>
          <w:numId w:val="1"/>
        </w:numPr>
      </w:pPr>
      <w:proofErr w:type="gramStart"/>
      <w:r>
        <w:rPr>
          <w:rFonts w:hint="eastAsia"/>
        </w:rPr>
        <w:t>聚焦四</w:t>
      </w:r>
      <w:proofErr w:type="gramEnd"/>
      <w:r>
        <w:rPr>
          <w:rFonts w:hint="eastAsia"/>
        </w:rPr>
        <w:t>区，承载首都功能</w:t>
      </w:r>
    </w:p>
    <w:p w14:paraId="1E33D2A0"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构建</w:t>
      </w:r>
      <w:r>
        <w:rPr>
          <w:rFonts w:ascii="仿宋_GB2312" w:eastAsia="仿宋_GB2312" w:hAnsi="仿宋" w:cs="仿宋"/>
          <w:sz w:val="24"/>
          <w:szCs w:val="32"/>
        </w:rPr>
        <w:t>以轨道交通</w:t>
      </w:r>
      <w:r>
        <w:rPr>
          <w:rFonts w:ascii="仿宋_GB2312" w:eastAsia="仿宋_GB2312" w:hAnsi="仿宋" w:cs="仿宋" w:hint="eastAsia"/>
          <w:sz w:val="24"/>
          <w:szCs w:val="32"/>
        </w:rPr>
        <w:t>和航空航天两大产业集群为支柱</w:t>
      </w:r>
      <w:r>
        <w:rPr>
          <w:rFonts w:ascii="仿宋_GB2312" w:eastAsia="仿宋_GB2312" w:hAnsi="仿宋" w:cs="仿宋"/>
          <w:sz w:val="24"/>
          <w:szCs w:val="32"/>
        </w:rPr>
        <w:t>，科技服务和</w:t>
      </w:r>
      <w:r>
        <w:rPr>
          <w:rFonts w:ascii="仿宋_GB2312" w:eastAsia="仿宋_GB2312" w:hAnsi="仿宋" w:cs="仿宋" w:hint="eastAsia"/>
          <w:sz w:val="24"/>
          <w:szCs w:val="32"/>
        </w:rPr>
        <w:t>新兴</w:t>
      </w:r>
      <w:r>
        <w:rPr>
          <w:rFonts w:ascii="仿宋_GB2312" w:eastAsia="仿宋_GB2312" w:hAnsi="仿宋" w:cs="仿宋"/>
          <w:sz w:val="24"/>
          <w:szCs w:val="32"/>
        </w:rPr>
        <w:t>金融为主导，战略性新兴产业、商务服务</w:t>
      </w:r>
      <w:r>
        <w:rPr>
          <w:rFonts w:ascii="仿宋_GB2312" w:eastAsia="仿宋_GB2312" w:hAnsi="仿宋" w:cs="仿宋" w:hint="eastAsia"/>
          <w:sz w:val="24"/>
          <w:szCs w:val="32"/>
        </w:rPr>
        <w:t>和</w:t>
      </w:r>
      <w:r>
        <w:rPr>
          <w:rFonts w:ascii="仿宋_GB2312" w:eastAsia="仿宋_GB2312" w:hAnsi="仿宋" w:cs="仿宋"/>
          <w:sz w:val="24"/>
          <w:szCs w:val="32"/>
        </w:rPr>
        <w:t>文化创意为</w:t>
      </w:r>
      <w:r>
        <w:rPr>
          <w:rFonts w:ascii="仿宋_GB2312" w:eastAsia="仿宋_GB2312" w:hAnsi="仿宋" w:cs="仿宋" w:hint="eastAsia"/>
          <w:sz w:val="24"/>
          <w:szCs w:val="32"/>
        </w:rPr>
        <w:t>支撑</w:t>
      </w:r>
      <w:r>
        <w:rPr>
          <w:rFonts w:ascii="仿宋_GB2312" w:eastAsia="仿宋_GB2312" w:hAnsi="仿宋" w:cs="仿宋"/>
          <w:sz w:val="24"/>
          <w:szCs w:val="32"/>
        </w:rPr>
        <w:t>，生活性服务业为补充，</w:t>
      </w:r>
      <w:r>
        <w:rPr>
          <w:rFonts w:ascii="仿宋_GB2312" w:eastAsia="仿宋_GB2312" w:hAnsi="仿宋" w:cs="仿宋" w:hint="eastAsia"/>
          <w:sz w:val="24"/>
          <w:szCs w:val="32"/>
        </w:rPr>
        <w:t>创新引领</w:t>
      </w:r>
      <w:r>
        <w:rPr>
          <w:rFonts w:ascii="仿宋_GB2312" w:eastAsia="仿宋_GB2312" w:hAnsi="仿宋" w:cs="仿宋"/>
          <w:sz w:val="24"/>
          <w:szCs w:val="32"/>
        </w:rPr>
        <w:t>、</w:t>
      </w:r>
      <w:r>
        <w:rPr>
          <w:rFonts w:ascii="仿宋_GB2312" w:eastAsia="仿宋_GB2312" w:hAnsi="仿宋" w:cs="仿宋" w:hint="eastAsia"/>
          <w:sz w:val="24"/>
          <w:szCs w:val="32"/>
        </w:rPr>
        <w:t>协同</w:t>
      </w:r>
      <w:r>
        <w:rPr>
          <w:rFonts w:ascii="仿宋_GB2312" w:eastAsia="仿宋_GB2312" w:hAnsi="仿宋" w:cs="仿宋"/>
          <w:sz w:val="24"/>
          <w:szCs w:val="32"/>
        </w:rPr>
        <w:t>发展的</w:t>
      </w:r>
      <w:r>
        <w:rPr>
          <w:rFonts w:ascii="仿宋_GB2312" w:eastAsia="仿宋_GB2312" w:hAnsi="仿宋" w:cs="仿宋" w:hint="eastAsia"/>
          <w:sz w:val="24"/>
          <w:szCs w:val="32"/>
        </w:rPr>
        <w:t>高精尖经济</w:t>
      </w:r>
      <w:r>
        <w:rPr>
          <w:rFonts w:ascii="仿宋_GB2312" w:eastAsia="仿宋_GB2312" w:hAnsi="仿宋" w:cs="仿宋"/>
          <w:sz w:val="24"/>
          <w:szCs w:val="32"/>
        </w:rPr>
        <w:t>结构</w:t>
      </w:r>
      <w:r>
        <w:rPr>
          <w:rFonts w:ascii="仿宋_GB2312" w:eastAsia="仿宋_GB2312" w:hAnsi="仿宋" w:cs="仿宋" w:hint="eastAsia"/>
          <w:sz w:val="24"/>
          <w:szCs w:val="32"/>
        </w:rPr>
        <w:t>（图5）</w:t>
      </w:r>
      <w:r>
        <w:rPr>
          <w:rFonts w:ascii="仿宋_GB2312" w:eastAsia="仿宋_GB2312" w:hAnsi="仿宋" w:cs="仿宋"/>
          <w:sz w:val="24"/>
          <w:szCs w:val="32"/>
        </w:rPr>
        <w:t>。</w:t>
      </w:r>
      <w:r>
        <w:rPr>
          <w:rFonts w:ascii="仿宋_GB2312" w:eastAsia="仿宋_GB2312" w:hAnsi="仿宋" w:cs="仿宋" w:hint="eastAsia"/>
          <w:sz w:val="24"/>
          <w:szCs w:val="32"/>
        </w:rPr>
        <w:t>高水平建设首都商务新区、丽泽金融商务区、中关村丰台园区、卢沟桥国家文化公园区，打造首都功能的集中承载地区（图6）。</w:t>
      </w:r>
    </w:p>
    <w:p w14:paraId="45240649" w14:textId="77777777" w:rsidR="0027384A" w:rsidRDefault="00000000">
      <w:pPr>
        <w:spacing w:line="360" w:lineRule="auto"/>
        <w:jc w:val="center"/>
        <w:rPr>
          <w:rFonts w:ascii="仿宋_GB2312" w:eastAsia="仿宋_GB2312" w:hAnsi="仿宋" w:cs="仿宋"/>
          <w:sz w:val="24"/>
          <w:szCs w:val="32"/>
        </w:rPr>
      </w:pPr>
      <w:r>
        <w:rPr>
          <w:rFonts w:ascii="仿宋_GB2312" w:eastAsia="仿宋_GB2312" w:hAnsi="仿宋" w:cs="仿宋" w:hint="eastAsia"/>
          <w:noProof/>
          <w:sz w:val="24"/>
          <w:szCs w:val="32"/>
        </w:rPr>
        <w:drawing>
          <wp:inline distT="0" distB="0" distL="0" distR="0" wp14:anchorId="7A37ED08" wp14:editId="4E8D400B">
            <wp:extent cx="5309235" cy="2181225"/>
            <wp:effectExtent l="0" t="0" r="5715"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20776" cy="2185709"/>
                    </a:xfrm>
                    <a:prstGeom prst="rect">
                      <a:avLst/>
                    </a:prstGeom>
                  </pic:spPr>
                </pic:pic>
              </a:graphicData>
            </a:graphic>
          </wp:inline>
        </w:drawing>
      </w:r>
    </w:p>
    <w:p w14:paraId="12120746" w14:textId="77777777" w:rsidR="0027384A" w:rsidRDefault="00000000">
      <w:pPr>
        <w:spacing w:line="360" w:lineRule="auto"/>
        <w:jc w:val="center"/>
        <w:rPr>
          <w:rFonts w:ascii="仿宋_GB2312" w:eastAsia="仿宋_GB2312" w:hAnsi="仿宋" w:cs="仿宋"/>
          <w:b/>
          <w:bCs/>
          <w:sz w:val="18"/>
          <w:szCs w:val="18"/>
        </w:rPr>
      </w:pPr>
      <w:r>
        <w:rPr>
          <w:rFonts w:ascii="仿宋_GB2312" w:eastAsia="仿宋_GB2312" w:hAnsi="仿宋" w:cs="仿宋" w:hint="eastAsia"/>
          <w:b/>
          <w:bCs/>
          <w:sz w:val="18"/>
          <w:szCs w:val="18"/>
        </w:rPr>
        <w:t>图5 高精尖经济结构</w:t>
      </w:r>
    </w:p>
    <w:p w14:paraId="58ADB95B" w14:textId="77777777" w:rsidR="0027384A" w:rsidRDefault="00000000">
      <w:pPr>
        <w:spacing w:line="360" w:lineRule="auto"/>
        <w:jc w:val="center"/>
        <w:rPr>
          <w:rFonts w:ascii="仿宋_GB2312" w:eastAsia="仿宋_GB2312" w:hAnsi="仿宋" w:cs="仿宋"/>
          <w:sz w:val="24"/>
          <w:szCs w:val="32"/>
        </w:rPr>
      </w:pPr>
      <w:r>
        <w:rPr>
          <w:rFonts w:ascii="仿宋_GB2312" w:eastAsia="仿宋_GB2312" w:hAnsi="仿宋" w:cs="仿宋"/>
          <w:noProof/>
          <w:sz w:val="24"/>
          <w:szCs w:val="32"/>
        </w:rPr>
        <w:lastRenderedPageBreak/>
        <w:drawing>
          <wp:inline distT="0" distB="0" distL="0" distR="0" wp14:anchorId="1BDED4D1" wp14:editId="4E972234">
            <wp:extent cx="5274310" cy="2613025"/>
            <wp:effectExtent l="19050" t="0" r="254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1" cstate="print"/>
                    <a:stretch>
                      <a:fillRect/>
                    </a:stretch>
                  </pic:blipFill>
                  <pic:spPr>
                    <a:xfrm>
                      <a:off x="0" y="0"/>
                      <a:ext cx="5274310" cy="2613347"/>
                    </a:xfrm>
                    <a:prstGeom prst="rect">
                      <a:avLst/>
                    </a:prstGeom>
                  </pic:spPr>
                </pic:pic>
              </a:graphicData>
            </a:graphic>
          </wp:inline>
        </w:drawing>
      </w:r>
    </w:p>
    <w:p w14:paraId="1BACC95A" w14:textId="77777777" w:rsidR="0027384A" w:rsidRDefault="00000000">
      <w:pPr>
        <w:spacing w:line="360" w:lineRule="auto"/>
        <w:jc w:val="center"/>
        <w:rPr>
          <w:rFonts w:ascii="仿宋_GB2312" w:eastAsia="仿宋_GB2312" w:hAnsi="仿宋" w:cs="仿宋"/>
          <w:b/>
          <w:bCs/>
          <w:sz w:val="18"/>
          <w:szCs w:val="18"/>
        </w:rPr>
      </w:pPr>
      <w:r>
        <w:rPr>
          <w:rFonts w:ascii="仿宋_GB2312" w:eastAsia="仿宋_GB2312" w:hAnsi="仿宋" w:cs="仿宋" w:hint="eastAsia"/>
          <w:b/>
          <w:bCs/>
          <w:sz w:val="18"/>
          <w:szCs w:val="18"/>
        </w:rPr>
        <w:t>图6 “四区”空间布局</w:t>
      </w:r>
    </w:p>
    <w:p w14:paraId="4EB54DBF" w14:textId="77777777" w:rsidR="0027384A" w:rsidRDefault="0027384A">
      <w:pPr>
        <w:spacing w:line="360" w:lineRule="auto"/>
        <w:jc w:val="center"/>
        <w:rPr>
          <w:rFonts w:ascii="仿宋_GB2312" w:eastAsia="仿宋_GB2312" w:hAnsi="仿宋" w:cs="仿宋"/>
          <w:sz w:val="18"/>
          <w:szCs w:val="18"/>
        </w:rPr>
      </w:pPr>
    </w:p>
    <w:p w14:paraId="1C74803D" w14:textId="77777777" w:rsidR="0027384A" w:rsidRDefault="00000000">
      <w:pPr>
        <w:spacing w:line="360" w:lineRule="auto"/>
        <w:ind w:firstLineChars="200" w:firstLine="480"/>
        <w:jc w:val="left"/>
        <w:rPr>
          <w:rFonts w:ascii="仿宋_GB2312" w:eastAsia="仿宋_GB2312" w:hAnsi="仿宋" w:cs="仿宋"/>
          <w:sz w:val="24"/>
          <w:szCs w:val="32"/>
        </w:rPr>
      </w:pPr>
      <w:bookmarkStart w:id="0" w:name="_Hlk4514403"/>
      <w:r>
        <w:rPr>
          <w:rFonts w:ascii="仿宋_GB2312" w:eastAsia="仿宋_GB2312" w:hAnsi="仿宋" w:cs="仿宋"/>
          <w:sz w:val="24"/>
          <w:szCs w:val="32"/>
        </w:rPr>
        <w:t>首都商务新区</w:t>
      </w:r>
      <w:bookmarkEnd w:id="0"/>
      <w:r>
        <w:rPr>
          <w:rFonts w:ascii="仿宋_GB2312" w:eastAsia="仿宋_GB2312" w:hAnsi="仿宋" w:cs="仿宋" w:hint="eastAsia"/>
          <w:sz w:val="24"/>
          <w:szCs w:val="32"/>
        </w:rPr>
        <w:t>充分发挥丰台区位、生态、交通和空间优势，面向首都未来发展，承载新时代大国首都功能，建设高标准、高品质、国际化的多元城市综合区，打造北京城市南部地区高速发展的新引擎（图7）。</w:t>
      </w:r>
    </w:p>
    <w:p w14:paraId="3C68748F" w14:textId="77777777" w:rsidR="0027384A" w:rsidRDefault="00000000">
      <w:pPr>
        <w:spacing w:line="360" w:lineRule="auto"/>
        <w:jc w:val="center"/>
        <w:rPr>
          <w:rFonts w:ascii="仿宋_GB2312" w:eastAsia="仿宋_GB2312" w:hAnsi="仿宋" w:cs="仿宋"/>
          <w:sz w:val="24"/>
          <w:szCs w:val="32"/>
        </w:rPr>
      </w:pPr>
      <w:r>
        <w:rPr>
          <w:rFonts w:ascii="仿宋_GB2312" w:eastAsia="仿宋_GB2312" w:hAnsi="仿宋" w:cs="仿宋"/>
          <w:noProof/>
          <w:sz w:val="24"/>
          <w:szCs w:val="32"/>
        </w:rPr>
        <w:drawing>
          <wp:inline distT="0" distB="0" distL="0" distR="0" wp14:anchorId="1707FB49" wp14:editId="283FE38E">
            <wp:extent cx="5274310" cy="3515995"/>
            <wp:effectExtent l="19050" t="0" r="2540" b="0"/>
            <wp:docPr id="10" name="图片 26" descr="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6" descr="图片 26"/>
                    <pic:cNvPicPr>
                      <a:picLocks noChangeAspect="1"/>
                    </pic:cNvPicPr>
                  </pic:nvPicPr>
                  <pic:blipFill>
                    <a:blip r:embed="rId12" cstate="print"/>
                    <a:stretch>
                      <a:fillRect/>
                    </a:stretch>
                  </pic:blipFill>
                  <pic:spPr>
                    <a:xfrm>
                      <a:off x="0" y="0"/>
                      <a:ext cx="5274310" cy="3516207"/>
                    </a:xfrm>
                    <a:prstGeom prst="rect">
                      <a:avLst/>
                    </a:prstGeom>
                    <a:ln w="12700">
                      <a:miter lim="400000"/>
                      <a:headEnd/>
                      <a:tailEnd/>
                    </a:ln>
                    <a:effectLst/>
                  </pic:spPr>
                </pic:pic>
              </a:graphicData>
            </a:graphic>
          </wp:inline>
        </w:drawing>
      </w:r>
    </w:p>
    <w:p w14:paraId="0E4C67F8" w14:textId="77777777" w:rsidR="0027384A" w:rsidRDefault="00000000">
      <w:pPr>
        <w:spacing w:line="360" w:lineRule="auto"/>
        <w:jc w:val="center"/>
        <w:rPr>
          <w:rFonts w:ascii="仿宋_GB2312" w:eastAsia="仿宋_GB2312" w:hAnsi="仿宋" w:cs="仿宋"/>
          <w:b/>
          <w:bCs/>
          <w:sz w:val="18"/>
          <w:szCs w:val="18"/>
        </w:rPr>
      </w:pPr>
      <w:r>
        <w:rPr>
          <w:rFonts w:ascii="仿宋_GB2312" w:eastAsia="仿宋_GB2312" w:hAnsi="仿宋" w:cs="仿宋" w:hint="eastAsia"/>
          <w:b/>
          <w:bCs/>
          <w:sz w:val="18"/>
          <w:szCs w:val="18"/>
        </w:rPr>
        <w:t>图7 首都商务新区效果图</w:t>
      </w:r>
    </w:p>
    <w:p w14:paraId="243D5CA7" w14:textId="77777777" w:rsidR="0027384A" w:rsidRDefault="0027384A">
      <w:pPr>
        <w:spacing w:line="360" w:lineRule="auto"/>
        <w:jc w:val="center"/>
        <w:rPr>
          <w:rFonts w:ascii="仿宋_GB2312" w:eastAsia="仿宋_GB2312" w:hAnsi="仿宋" w:cs="仿宋"/>
          <w:sz w:val="18"/>
          <w:szCs w:val="18"/>
        </w:rPr>
      </w:pPr>
    </w:p>
    <w:p w14:paraId="6118380D" w14:textId="77777777" w:rsidR="0027384A" w:rsidRDefault="00000000">
      <w:pPr>
        <w:spacing w:line="360" w:lineRule="auto"/>
        <w:ind w:firstLine="480"/>
        <w:jc w:val="left"/>
        <w:rPr>
          <w:rFonts w:ascii="仿宋_GB2312" w:eastAsia="仿宋_GB2312" w:hAnsi="仿宋" w:cs="仿宋"/>
          <w:sz w:val="24"/>
          <w:szCs w:val="32"/>
        </w:rPr>
      </w:pPr>
      <w:r>
        <w:rPr>
          <w:rFonts w:ascii="仿宋_GB2312" w:eastAsia="仿宋_GB2312" w:hAnsi="仿宋" w:cs="仿宋" w:hint="eastAsia"/>
          <w:sz w:val="24"/>
          <w:szCs w:val="32"/>
        </w:rPr>
        <w:t>丽泽</w:t>
      </w:r>
      <w:r>
        <w:rPr>
          <w:rFonts w:ascii="仿宋_GB2312" w:eastAsia="仿宋_GB2312" w:hAnsi="仿宋" w:cs="仿宋"/>
          <w:sz w:val="24"/>
          <w:szCs w:val="32"/>
        </w:rPr>
        <w:t>金融商务区是新兴金融产业集聚区、首都金融改革</w:t>
      </w:r>
      <w:r>
        <w:rPr>
          <w:rFonts w:ascii="仿宋_GB2312" w:eastAsia="仿宋_GB2312" w:hAnsi="仿宋" w:cs="仿宋" w:hint="eastAsia"/>
          <w:sz w:val="24"/>
          <w:szCs w:val="32"/>
        </w:rPr>
        <w:t>试</w:t>
      </w:r>
      <w:r>
        <w:rPr>
          <w:rFonts w:ascii="仿宋_GB2312" w:eastAsia="仿宋_GB2312" w:hAnsi="仿宋" w:cs="仿宋"/>
          <w:sz w:val="24"/>
          <w:szCs w:val="32"/>
        </w:rPr>
        <w:t>验区。注重</w:t>
      </w:r>
      <w:r>
        <w:rPr>
          <w:rFonts w:ascii="仿宋_GB2312" w:eastAsia="仿宋_GB2312" w:hAnsi="仿宋" w:cs="仿宋" w:hint="eastAsia"/>
          <w:sz w:val="24"/>
          <w:szCs w:val="32"/>
        </w:rPr>
        <w:t>与</w:t>
      </w:r>
      <w:r>
        <w:rPr>
          <w:rFonts w:ascii="仿宋_GB2312" w:eastAsia="仿宋_GB2312" w:hAnsi="仿宋" w:cs="仿宋"/>
          <w:sz w:val="24"/>
          <w:szCs w:val="32"/>
        </w:rPr>
        <w:t>金融</w:t>
      </w:r>
      <w:r>
        <w:rPr>
          <w:rFonts w:ascii="仿宋_GB2312" w:eastAsia="仿宋_GB2312" w:hAnsi="仿宋" w:cs="仿宋" w:hint="eastAsia"/>
          <w:sz w:val="24"/>
          <w:szCs w:val="32"/>
        </w:rPr>
        <w:lastRenderedPageBreak/>
        <w:t>街</w:t>
      </w:r>
      <w:r>
        <w:rPr>
          <w:rFonts w:ascii="仿宋_GB2312" w:eastAsia="仿宋_GB2312" w:hAnsi="仿宋" w:cs="仿宋"/>
          <w:sz w:val="24"/>
          <w:szCs w:val="32"/>
        </w:rPr>
        <w:t>和北京商务中心区协同</w:t>
      </w:r>
      <w:r>
        <w:rPr>
          <w:rFonts w:ascii="仿宋_GB2312" w:eastAsia="仿宋_GB2312" w:hAnsi="仿宋" w:cs="仿宋" w:hint="eastAsia"/>
          <w:sz w:val="24"/>
          <w:szCs w:val="32"/>
        </w:rPr>
        <w:t>发展</w:t>
      </w:r>
      <w:r>
        <w:rPr>
          <w:rFonts w:ascii="仿宋_GB2312" w:eastAsia="仿宋_GB2312" w:hAnsi="仿宋" w:cs="仿宋"/>
          <w:sz w:val="24"/>
          <w:szCs w:val="32"/>
        </w:rPr>
        <w:t>，</w:t>
      </w:r>
      <w:proofErr w:type="gramStart"/>
      <w:r>
        <w:rPr>
          <w:rFonts w:ascii="仿宋_GB2312" w:eastAsia="仿宋_GB2312" w:hAnsi="仿宋" w:cs="仿宋" w:hint="eastAsia"/>
          <w:sz w:val="24"/>
          <w:szCs w:val="32"/>
        </w:rPr>
        <w:t>打造打造</w:t>
      </w:r>
      <w:proofErr w:type="gramEnd"/>
      <w:r>
        <w:rPr>
          <w:rFonts w:ascii="仿宋_GB2312" w:eastAsia="仿宋_GB2312" w:hAnsi="仿宋" w:cs="仿宋" w:hint="eastAsia"/>
          <w:sz w:val="24"/>
          <w:szCs w:val="32"/>
        </w:rPr>
        <w:t>以人为本、高效优质、低碳智慧、国际一流的新一代商务区（图8）。</w:t>
      </w:r>
      <w:r>
        <w:rPr>
          <w:rFonts w:ascii="仿宋_GB2312" w:eastAsia="仿宋_GB2312" w:hAnsi="仿宋" w:cs="仿宋"/>
          <w:noProof/>
          <w:sz w:val="18"/>
          <w:szCs w:val="18"/>
        </w:rPr>
        <w:drawing>
          <wp:inline distT="0" distB="0" distL="0" distR="0" wp14:anchorId="360995BA" wp14:editId="28C1E3ED">
            <wp:extent cx="5274310" cy="4053205"/>
            <wp:effectExtent l="19050" t="0" r="2540" b="0"/>
            <wp:docPr id="12" name="图片 2" descr="The Plan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图片 2" descr="The Plan9"/>
                    <pic:cNvPicPr>
                      <a:picLocks noGrp="1" noChangeAspect="1"/>
                    </pic:cNvPicPr>
                  </pic:nvPicPr>
                  <pic:blipFill>
                    <a:blip r:embed="rId13" cstate="print"/>
                    <a:srcRect l="32010" t="1358" r="25433" b="6178"/>
                    <a:stretch>
                      <a:fillRect/>
                    </a:stretch>
                  </pic:blipFill>
                  <pic:spPr>
                    <a:xfrm>
                      <a:off x="0" y="0"/>
                      <a:ext cx="5274310" cy="4053405"/>
                    </a:xfrm>
                    <a:prstGeom prst="rect">
                      <a:avLst/>
                    </a:prstGeom>
                    <a:noFill/>
                    <a:ln w="9525">
                      <a:noFill/>
                      <a:miter lim="800000"/>
                      <a:headEnd/>
                      <a:tailEnd/>
                    </a:ln>
                  </pic:spPr>
                </pic:pic>
              </a:graphicData>
            </a:graphic>
          </wp:inline>
        </w:drawing>
      </w:r>
    </w:p>
    <w:p w14:paraId="792B2C34" w14:textId="77777777" w:rsidR="0027384A" w:rsidRDefault="00000000">
      <w:pPr>
        <w:spacing w:line="360" w:lineRule="auto"/>
        <w:jc w:val="center"/>
        <w:rPr>
          <w:rFonts w:ascii="仿宋_GB2312" w:eastAsia="仿宋_GB2312" w:hAnsi="仿宋" w:cs="仿宋"/>
          <w:b/>
          <w:bCs/>
          <w:sz w:val="24"/>
          <w:szCs w:val="32"/>
        </w:rPr>
      </w:pPr>
      <w:r>
        <w:rPr>
          <w:rFonts w:ascii="仿宋_GB2312" w:eastAsia="仿宋_GB2312" w:hAnsi="仿宋" w:cs="仿宋" w:hint="eastAsia"/>
          <w:b/>
          <w:bCs/>
          <w:sz w:val="18"/>
          <w:szCs w:val="18"/>
        </w:rPr>
        <w:t>图8 丽泽金融商务</w:t>
      </w:r>
      <w:proofErr w:type="gramStart"/>
      <w:r>
        <w:rPr>
          <w:rFonts w:ascii="仿宋_GB2312" w:eastAsia="仿宋_GB2312" w:hAnsi="仿宋" w:cs="仿宋" w:hint="eastAsia"/>
          <w:b/>
          <w:bCs/>
          <w:sz w:val="18"/>
          <w:szCs w:val="18"/>
        </w:rPr>
        <w:t>区效果</w:t>
      </w:r>
      <w:proofErr w:type="gramEnd"/>
      <w:r>
        <w:rPr>
          <w:rFonts w:ascii="仿宋_GB2312" w:eastAsia="仿宋_GB2312" w:hAnsi="仿宋" w:cs="仿宋" w:hint="eastAsia"/>
          <w:b/>
          <w:bCs/>
          <w:sz w:val="18"/>
          <w:szCs w:val="18"/>
        </w:rPr>
        <w:t>图</w:t>
      </w:r>
    </w:p>
    <w:p w14:paraId="084BACCC" w14:textId="4A233D03"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中关村丰台园区重点发展轨道交通和航空航天两大主导产业集群，</w:t>
      </w:r>
      <w:r>
        <w:rPr>
          <w:rFonts w:ascii="仿宋_GB2312" w:eastAsia="仿宋_GB2312" w:hAnsi="仿宋" w:cs="仿宋"/>
          <w:sz w:val="24"/>
          <w:szCs w:val="32"/>
        </w:rPr>
        <w:t>做大电子信息、新材料、节能环保、生物与新医药四个产业</w:t>
      </w:r>
      <w:r>
        <w:rPr>
          <w:rFonts w:ascii="仿宋_GB2312" w:eastAsia="仿宋_GB2312" w:hAnsi="仿宋" w:cs="仿宋" w:hint="eastAsia"/>
          <w:sz w:val="24"/>
          <w:szCs w:val="32"/>
        </w:rPr>
        <w:t>，建设服务全国和“一带一路”共建国家的产业创新中心和集成服务中心，成为全国科技创新中心的前沿阵地。</w:t>
      </w:r>
    </w:p>
    <w:p w14:paraId="5A30C2C8"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卢沟桥国家文化公园区以卢沟桥-宛平城-中国人民抗日战争纪念馆为核心，突出国家抗战纪念活动承载地的政治功能，加强历史文化遗产保护，健全绿色空间体系，建设成为</w:t>
      </w:r>
      <w:r>
        <w:rPr>
          <w:rFonts w:ascii="仿宋_GB2312" w:eastAsia="仿宋_GB2312" w:hAnsi="仿宋" w:cs="仿宋"/>
          <w:sz w:val="24"/>
          <w:szCs w:val="32"/>
        </w:rPr>
        <w:t>国家红色文化旅游目的地</w:t>
      </w:r>
      <w:r>
        <w:rPr>
          <w:rFonts w:ascii="仿宋_GB2312" w:eastAsia="仿宋_GB2312" w:hAnsi="仿宋" w:cs="仿宋" w:hint="eastAsia"/>
          <w:sz w:val="24"/>
          <w:szCs w:val="32"/>
        </w:rPr>
        <w:t>，形成中华文化重要标识，打造西山永定河</w:t>
      </w:r>
      <w:r>
        <w:rPr>
          <w:rFonts w:ascii="仿宋_GB2312" w:eastAsia="仿宋_GB2312" w:hAnsi="仿宋" w:cs="仿宋"/>
          <w:sz w:val="24"/>
          <w:szCs w:val="32"/>
        </w:rPr>
        <w:t>文化带上的璀璨明珠</w:t>
      </w:r>
      <w:r>
        <w:rPr>
          <w:rFonts w:ascii="仿宋_GB2312" w:eastAsia="仿宋_GB2312" w:hAnsi="仿宋" w:cs="仿宋" w:hint="eastAsia"/>
          <w:sz w:val="24"/>
          <w:szCs w:val="32"/>
        </w:rPr>
        <w:t>（图9）。</w:t>
      </w:r>
    </w:p>
    <w:p w14:paraId="1BAD6719" w14:textId="77777777" w:rsidR="0027384A" w:rsidRDefault="00000000">
      <w:pPr>
        <w:spacing w:line="360" w:lineRule="auto"/>
        <w:jc w:val="center"/>
        <w:rPr>
          <w:rFonts w:ascii="仿宋_GB2312" w:eastAsia="仿宋_GB2312" w:hAnsi="仿宋" w:cs="仿宋"/>
          <w:sz w:val="24"/>
          <w:szCs w:val="32"/>
        </w:rPr>
      </w:pPr>
      <w:r>
        <w:rPr>
          <w:rFonts w:ascii="仿宋_GB2312" w:eastAsia="仿宋_GB2312" w:hAnsi="仿宋" w:cs="仿宋"/>
          <w:noProof/>
          <w:sz w:val="24"/>
          <w:szCs w:val="32"/>
        </w:rPr>
        <w:lastRenderedPageBreak/>
        <w:drawing>
          <wp:inline distT="0" distB="0" distL="0" distR="0" wp14:anchorId="3151CF65" wp14:editId="2A8E166E">
            <wp:extent cx="5274310" cy="2962910"/>
            <wp:effectExtent l="0" t="0" r="2540" b="8890"/>
            <wp:docPr id="1030" name="Picture 7" descr="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7" descr="Picture 7"/>
                    <pic:cNvPicPr>
                      <a:picLocks noChangeAspect="1"/>
                    </pic:cNvPicPr>
                  </pic:nvPicPr>
                  <pic:blipFill>
                    <a:blip r:embed="rId14" cstate="print"/>
                    <a:srcRect l="-121" t="266" r="532" b="266"/>
                    <a:stretch>
                      <a:fillRect/>
                    </a:stretch>
                  </pic:blipFill>
                  <pic:spPr>
                    <a:xfrm>
                      <a:off x="0" y="0"/>
                      <a:ext cx="5274310" cy="2963137"/>
                    </a:xfrm>
                    <a:prstGeom prst="rect">
                      <a:avLst/>
                    </a:prstGeom>
                    <a:ln w="12700">
                      <a:miter lim="400000"/>
                      <a:headEnd/>
                      <a:tailEnd/>
                    </a:ln>
                    <a:effectLst/>
                  </pic:spPr>
                </pic:pic>
              </a:graphicData>
            </a:graphic>
          </wp:inline>
        </w:drawing>
      </w:r>
    </w:p>
    <w:p w14:paraId="6658E7E5" w14:textId="77777777" w:rsidR="0027384A" w:rsidRDefault="00000000">
      <w:pPr>
        <w:spacing w:line="360" w:lineRule="auto"/>
        <w:jc w:val="center"/>
        <w:rPr>
          <w:rFonts w:ascii="仿宋_GB2312" w:eastAsia="仿宋_GB2312" w:hAnsi="仿宋" w:cs="仿宋"/>
          <w:b/>
          <w:bCs/>
          <w:sz w:val="18"/>
          <w:szCs w:val="18"/>
        </w:rPr>
      </w:pPr>
      <w:r>
        <w:rPr>
          <w:rFonts w:ascii="仿宋_GB2312" w:eastAsia="仿宋_GB2312" w:hAnsi="仿宋" w:cs="仿宋" w:hint="eastAsia"/>
          <w:b/>
          <w:bCs/>
          <w:sz w:val="18"/>
          <w:szCs w:val="18"/>
        </w:rPr>
        <w:t>图9 卢沟桥国家文化公园</w:t>
      </w:r>
      <w:proofErr w:type="gramStart"/>
      <w:r>
        <w:rPr>
          <w:rFonts w:ascii="仿宋_GB2312" w:eastAsia="仿宋_GB2312" w:hAnsi="仿宋" w:cs="仿宋" w:hint="eastAsia"/>
          <w:b/>
          <w:bCs/>
          <w:sz w:val="18"/>
          <w:szCs w:val="18"/>
        </w:rPr>
        <w:t>区效果</w:t>
      </w:r>
      <w:proofErr w:type="gramEnd"/>
      <w:r>
        <w:rPr>
          <w:rFonts w:ascii="仿宋_GB2312" w:eastAsia="仿宋_GB2312" w:hAnsi="仿宋" w:cs="仿宋" w:hint="eastAsia"/>
          <w:b/>
          <w:bCs/>
          <w:sz w:val="18"/>
          <w:szCs w:val="18"/>
        </w:rPr>
        <w:t>图</w:t>
      </w:r>
    </w:p>
    <w:p w14:paraId="7BC536C5" w14:textId="77777777" w:rsidR="0027384A" w:rsidRDefault="00000000">
      <w:pPr>
        <w:pStyle w:val="1"/>
        <w:numPr>
          <w:ilvl w:val="0"/>
          <w:numId w:val="1"/>
        </w:numPr>
      </w:pPr>
      <w:r>
        <w:rPr>
          <w:rFonts w:hint="eastAsia"/>
        </w:rPr>
        <w:t>突出</w:t>
      </w:r>
      <w:r>
        <w:t>“</w:t>
      </w:r>
      <w:r>
        <w:rPr>
          <w:rFonts w:hint="eastAsia"/>
        </w:rPr>
        <w:t>多点</w:t>
      </w:r>
      <w:r>
        <w:t>”</w:t>
      </w:r>
      <w:r>
        <w:t>，</w:t>
      </w:r>
      <w:r>
        <w:rPr>
          <w:rFonts w:hint="eastAsia"/>
        </w:rPr>
        <w:t>完善城市功能</w:t>
      </w:r>
    </w:p>
    <w:p w14:paraId="57D32A10"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突出“多点”引领，完善城市功能，提升服务保障能力（图10）。通过</w:t>
      </w:r>
      <w:r>
        <w:rPr>
          <w:rFonts w:ascii="仿宋_GB2312" w:eastAsia="仿宋_GB2312" w:hAnsi="仿宋" w:cs="仿宋"/>
          <w:sz w:val="24"/>
          <w:szCs w:val="32"/>
        </w:rPr>
        <w:t>建立跨区域、多层次、便捷高效的交通体系</w:t>
      </w:r>
      <w:r>
        <w:rPr>
          <w:rFonts w:ascii="仿宋_GB2312" w:eastAsia="仿宋_GB2312" w:hAnsi="仿宋" w:cs="仿宋" w:hint="eastAsia"/>
          <w:sz w:val="24"/>
          <w:szCs w:val="32"/>
        </w:rPr>
        <w:t>，</w:t>
      </w:r>
      <w:r>
        <w:rPr>
          <w:rFonts w:ascii="仿宋_GB2312" w:eastAsia="仿宋_GB2312" w:hAnsi="仿宋" w:cs="仿宋"/>
          <w:sz w:val="24"/>
          <w:szCs w:val="32"/>
        </w:rPr>
        <w:t>加强文化、生态、城市活动的跨区联动，</w:t>
      </w:r>
      <w:r>
        <w:rPr>
          <w:rFonts w:ascii="仿宋_GB2312" w:eastAsia="仿宋_GB2312" w:hAnsi="仿宋" w:cs="仿宋" w:hint="eastAsia"/>
          <w:sz w:val="24"/>
          <w:szCs w:val="32"/>
        </w:rPr>
        <w:t>将</w:t>
      </w:r>
      <w:r>
        <w:rPr>
          <w:rFonts w:ascii="仿宋_GB2312" w:eastAsia="仿宋_GB2312" w:hAnsi="仿宋" w:cs="仿宋"/>
          <w:sz w:val="24"/>
          <w:szCs w:val="32"/>
        </w:rPr>
        <w:t>交通枢纽、生活保障和人文生态三大类城市功能节点地区，</w:t>
      </w:r>
      <w:r>
        <w:rPr>
          <w:rFonts w:ascii="仿宋_GB2312" w:eastAsia="仿宋_GB2312" w:hAnsi="仿宋" w:cs="仿宋" w:hint="eastAsia"/>
          <w:sz w:val="24"/>
          <w:szCs w:val="32"/>
        </w:rPr>
        <w:t>作为促进区域协同发展的重要支点。</w:t>
      </w:r>
    </w:p>
    <w:p w14:paraId="5B018373" w14:textId="77777777" w:rsidR="0027384A" w:rsidRDefault="00000000">
      <w:pPr>
        <w:spacing w:line="360" w:lineRule="auto"/>
        <w:jc w:val="center"/>
        <w:rPr>
          <w:rFonts w:ascii="仿宋_GB2312" w:eastAsia="仿宋_GB2312" w:hAnsi="仿宋" w:cs="仿宋"/>
          <w:sz w:val="24"/>
          <w:szCs w:val="32"/>
        </w:rPr>
      </w:pPr>
      <w:r>
        <w:rPr>
          <w:rFonts w:ascii="仿宋_GB2312" w:eastAsia="仿宋_GB2312" w:hAnsi="仿宋" w:cs="仿宋" w:hint="eastAsia"/>
          <w:noProof/>
          <w:sz w:val="24"/>
          <w:szCs w:val="32"/>
        </w:rPr>
        <w:drawing>
          <wp:inline distT="0" distB="0" distL="0" distR="0" wp14:anchorId="27FF5167" wp14:editId="08E2B549">
            <wp:extent cx="5274310" cy="2420620"/>
            <wp:effectExtent l="0" t="0" r="2540" b="0"/>
            <wp:docPr id="1066" name="图片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图片 106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2420620"/>
                    </a:xfrm>
                    <a:prstGeom prst="rect">
                      <a:avLst/>
                    </a:prstGeom>
                  </pic:spPr>
                </pic:pic>
              </a:graphicData>
            </a:graphic>
          </wp:inline>
        </w:drawing>
      </w:r>
    </w:p>
    <w:p w14:paraId="641CB23C" w14:textId="77777777" w:rsidR="0027384A" w:rsidRDefault="00000000">
      <w:pPr>
        <w:spacing w:line="360" w:lineRule="auto"/>
        <w:jc w:val="center"/>
        <w:rPr>
          <w:rFonts w:ascii="仿宋_GB2312" w:eastAsia="仿宋_GB2312" w:hAnsi="仿宋" w:cs="仿宋"/>
          <w:b/>
          <w:bCs/>
          <w:sz w:val="18"/>
          <w:szCs w:val="18"/>
        </w:rPr>
      </w:pPr>
      <w:r>
        <w:rPr>
          <w:rFonts w:ascii="仿宋_GB2312" w:eastAsia="仿宋_GB2312" w:hAnsi="仿宋" w:cs="仿宋" w:hint="eastAsia"/>
          <w:b/>
          <w:bCs/>
          <w:sz w:val="18"/>
          <w:szCs w:val="18"/>
        </w:rPr>
        <w:t>图10 “多点”空间布局</w:t>
      </w:r>
    </w:p>
    <w:p w14:paraId="3BEE915F"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交通枢纽类节点主要包括北京南站、北京西站、丰台站、丽泽城市航站楼等，是高水平对外综合交通枢纽的重要承载地区。加强城市治理，全面提升服务保障</w:t>
      </w:r>
      <w:r>
        <w:rPr>
          <w:rFonts w:ascii="仿宋_GB2312" w:eastAsia="仿宋_GB2312" w:hAnsi="仿宋" w:cs="仿宋" w:hint="eastAsia"/>
          <w:sz w:val="24"/>
          <w:szCs w:val="32"/>
        </w:rPr>
        <w:lastRenderedPageBreak/>
        <w:t>能力，全面提升出行体验，打造国际级的对外交通枢纽。</w:t>
      </w:r>
    </w:p>
    <w:p w14:paraId="4A4BC0BA"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生活保障类节点包括新发地、岳各庄等都市农产品供给保障区、花乡都市花卉供给保障区等，是保障首都高品质生活服务供给的重要地区。依托新技术、新模式，建立区域联动、多元配送的特色平台，切实增强市民满意度和幸福感。</w:t>
      </w:r>
    </w:p>
    <w:p w14:paraId="572D89E4"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人文生态类节点包括南苑森林湿地公园、金中都遗址公园、莲花池公园、卢沟桥、宛平城、长辛店老镇、二七机车厂、</w:t>
      </w:r>
      <w:proofErr w:type="gramStart"/>
      <w:r>
        <w:rPr>
          <w:rFonts w:ascii="仿宋_GB2312" w:eastAsia="仿宋_GB2312" w:hAnsi="仿宋" w:cs="仿宋" w:hint="eastAsia"/>
          <w:sz w:val="24"/>
          <w:szCs w:val="32"/>
        </w:rPr>
        <w:t>园博园</w:t>
      </w:r>
      <w:proofErr w:type="gramEnd"/>
      <w:r>
        <w:rPr>
          <w:rFonts w:ascii="仿宋_GB2312" w:eastAsia="仿宋_GB2312" w:hAnsi="仿宋" w:cs="仿宋" w:hint="eastAsia"/>
          <w:sz w:val="24"/>
          <w:szCs w:val="32"/>
        </w:rPr>
        <w:t>、北宫国家森林公园等，是历史文化和绿色生态</w:t>
      </w:r>
      <w:proofErr w:type="gramStart"/>
      <w:r>
        <w:rPr>
          <w:rFonts w:ascii="仿宋_GB2312" w:eastAsia="仿宋_GB2312" w:hAnsi="仿宋" w:cs="仿宋" w:hint="eastAsia"/>
          <w:sz w:val="24"/>
          <w:szCs w:val="32"/>
        </w:rPr>
        <w:t>引领新型</w:t>
      </w:r>
      <w:proofErr w:type="gramEnd"/>
      <w:r>
        <w:rPr>
          <w:rFonts w:ascii="仿宋_GB2312" w:eastAsia="仿宋_GB2312" w:hAnsi="仿宋" w:cs="仿宋" w:hint="eastAsia"/>
          <w:sz w:val="24"/>
          <w:szCs w:val="32"/>
        </w:rPr>
        <w:t>城镇化发展的关键性地区。大尺度建设绿色生态空间，统筹山水林田湖草系统治理，形成展示历史人文遗迹和现代化首都风貌的文化景观。</w:t>
      </w:r>
    </w:p>
    <w:p w14:paraId="090FE65E" w14:textId="77777777" w:rsidR="0027384A" w:rsidRDefault="00000000">
      <w:pPr>
        <w:pStyle w:val="1"/>
        <w:numPr>
          <w:ilvl w:val="0"/>
          <w:numId w:val="1"/>
        </w:numPr>
      </w:pPr>
      <w:r>
        <w:rPr>
          <w:rFonts w:hint="eastAsia"/>
        </w:rPr>
        <w:t>生态先行，实现山清水秀</w:t>
      </w:r>
    </w:p>
    <w:p w14:paraId="42056543" w14:textId="77777777" w:rsidR="0027384A" w:rsidRDefault="00000000">
      <w:pPr>
        <w:spacing w:line="360" w:lineRule="auto"/>
        <w:ind w:firstLineChars="200" w:firstLine="480"/>
        <w:jc w:val="left"/>
        <w:rPr>
          <w:rFonts w:ascii="仿宋_GB2312" w:eastAsia="仿宋_GB2312" w:hAnsi="仿宋" w:cs="仿宋"/>
          <w:sz w:val="24"/>
          <w:szCs w:val="32"/>
        </w:rPr>
      </w:pPr>
      <w:proofErr w:type="gramStart"/>
      <w:r>
        <w:rPr>
          <w:rFonts w:ascii="仿宋_GB2312" w:eastAsia="仿宋_GB2312" w:hAnsi="仿宋" w:cs="仿宋" w:hint="eastAsia"/>
          <w:sz w:val="24"/>
          <w:szCs w:val="32"/>
        </w:rPr>
        <w:t>践行</w:t>
      </w:r>
      <w:proofErr w:type="gramEnd"/>
      <w:r>
        <w:rPr>
          <w:rFonts w:ascii="仿宋_GB2312" w:eastAsia="仿宋_GB2312" w:hAnsi="仿宋" w:cs="仿宋" w:hint="eastAsia"/>
          <w:sz w:val="24"/>
          <w:szCs w:val="32"/>
        </w:rPr>
        <w:t>绿水青山就是金山银山的理念，厚植生态优势，坚持生态优先发展战略，以南中轴、南苑森林湿地公园、永定河文化带和生态融合发展带统领城市生态格局，建设蓝绿交织、城园交融、全面彰显新发展理念的绿色生态花园城区，实现人与自然和谐共生（图11）。</w:t>
      </w:r>
    </w:p>
    <w:p w14:paraId="640A8F42" w14:textId="77777777" w:rsidR="0027384A" w:rsidRDefault="00000000">
      <w:pPr>
        <w:spacing w:line="360" w:lineRule="auto"/>
        <w:jc w:val="center"/>
        <w:rPr>
          <w:rFonts w:ascii="仿宋_GB2312" w:eastAsia="仿宋_GB2312" w:hAnsi="仿宋" w:cs="仿宋"/>
          <w:sz w:val="24"/>
          <w:szCs w:val="32"/>
        </w:rPr>
      </w:pPr>
      <w:r>
        <w:rPr>
          <w:rFonts w:ascii="仿宋_GB2312" w:eastAsia="仿宋_GB2312" w:hAnsi="仿宋" w:cs="仿宋" w:hint="eastAsia"/>
          <w:noProof/>
          <w:sz w:val="24"/>
          <w:szCs w:val="32"/>
        </w:rPr>
        <w:drawing>
          <wp:inline distT="0" distB="0" distL="0" distR="0" wp14:anchorId="7C517554" wp14:editId="5C0F001D">
            <wp:extent cx="4730115" cy="2371090"/>
            <wp:effectExtent l="19050" t="0" r="0" b="0"/>
            <wp:docPr id="15" name="图片 14" descr="图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图片2.jpg"/>
                    <pic:cNvPicPr>
                      <a:picLocks noChangeAspect="1"/>
                    </pic:cNvPicPr>
                  </pic:nvPicPr>
                  <pic:blipFill>
                    <a:blip r:embed="rId16" cstate="print"/>
                    <a:stretch>
                      <a:fillRect/>
                    </a:stretch>
                  </pic:blipFill>
                  <pic:spPr>
                    <a:xfrm>
                      <a:off x="0" y="0"/>
                      <a:ext cx="4730496" cy="2371344"/>
                    </a:xfrm>
                    <a:prstGeom prst="rect">
                      <a:avLst/>
                    </a:prstGeom>
                  </pic:spPr>
                </pic:pic>
              </a:graphicData>
            </a:graphic>
          </wp:inline>
        </w:drawing>
      </w:r>
    </w:p>
    <w:p w14:paraId="0426C19A" w14:textId="77777777" w:rsidR="0027384A" w:rsidRDefault="00000000">
      <w:pPr>
        <w:spacing w:line="360" w:lineRule="auto"/>
        <w:jc w:val="center"/>
        <w:rPr>
          <w:rFonts w:ascii="仿宋_GB2312" w:eastAsia="仿宋_GB2312" w:hAnsi="仿宋" w:cs="仿宋"/>
          <w:b/>
          <w:bCs/>
          <w:sz w:val="18"/>
          <w:szCs w:val="18"/>
        </w:rPr>
      </w:pPr>
      <w:r>
        <w:rPr>
          <w:rFonts w:ascii="仿宋_GB2312" w:eastAsia="仿宋_GB2312" w:hAnsi="仿宋" w:cs="仿宋" w:hint="eastAsia"/>
          <w:b/>
          <w:bCs/>
          <w:sz w:val="18"/>
          <w:szCs w:val="18"/>
        </w:rPr>
        <w:t>图11 绿色空间结构规划图</w:t>
      </w:r>
    </w:p>
    <w:p w14:paraId="5DDDF6A1"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高水准</w:t>
      </w:r>
      <w:r>
        <w:rPr>
          <w:rFonts w:ascii="仿宋_GB2312" w:eastAsia="仿宋_GB2312" w:hAnsi="仿宋" w:cs="仿宋"/>
          <w:sz w:val="24"/>
          <w:szCs w:val="32"/>
        </w:rPr>
        <w:t>规划建设南苑森林湿地公园，</w:t>
      </w:r>
      <w:r>
        <w:rPr>
          <w:rFonts w:ascii="仿宋_GB2312" w:eastAsia="仿宋_GB2312" w:hAnsi="仿宋" w:cs="仿宋" w:hint="eastAsia"/>
          <w:sz w:val="24"/>
          <w:szCs w:val="32"/>
        </w:rPr>
        <w:t>再现</w:t>
      </w:r>
      <w:r>
        <w:rPr>
          <w:rFonts w:ascii="仿宋_GB2312" w:eastAsia="仿宋_GB2312" w:hAnsi="仿宋" w:cs="仿宋"/>
          <w:sz w:val="24"/>
          <w:szCs w:val="32"/>
        </w:rPr>
        <w:t>南苑湿地水网和</w:t>
      </w:r>
      <w:r>
        <w:rPr>
          <w:rFonts w:ascii="仿宋_GB2312" w:eastAsia="仿宋_GB2312" w:hAnsi="仿宋" w:cs="仿宋"/>
          <w:sz w:val="24"/>
          <w:szCs w:val="32"/>
        </w:rPr>
        <w:t>“</w:t>
      </w:r>
      <w:r>
        <w:rPr>
          <w:rFonts w:ascii="仿宋_GB2312" w:eastAsia="仿宋_GB2312" w:hAnsi="仿宋" w:cs="仿宋" w:hint="eastAsia"/>
          <w:sz w:val="24"/>
          <w:szCs w:val="32"/>
        </w:rPr>
        <w:t>南囿</w:t>
      </w:r>
      <w:r>
        <w:rPr>
          <w:rFonts w:ascii="仿宋_GB2312" w:eastAsia="仿宋_GB2312" w:hAnsi="仿宋" w:cs="仿宋"/>
          <w:sz w:val="24"/>
          <w:szCs w:val="32"/>
        </w:rPr>
        <w:t>秋风</w:t>
      </w:r>
      <w:r>
        <w:rPr>
          <w:rFonts w:ascii="仿宋_GB2312" w:eastAsia="仿宋_GB2312" w:hAnsi="仿宋" w:cs="仿宋"/>
          <w:sz w:val="24"/>
          <w:szCs w:val="32"/>
        </w:rPr>
        <w:t>”</w:t>
      </w:r>
      <w:r>
        <w:rPr>
          <w:rFonts w:ascii="仿宋_GB2312" w:eastAsia="仿宋_GB2312" w:hAnsi="仿宋" w:cs="仿宋" w:hint="eastAsia"/>
          <w:sz w:val="24"/>
          <w:szCs w:val="32"/>
        </w:rPr>
        <w:t>的景观，再现</w:t>
      </w:r>
      <w:r>
        <w:rPr>
          <w:rFonts w:ascii="仿宋_GB2312" w:eastAsia="仿宋_GB2312" w:hAnsi="仿宋" w:cs="仿宋"/>
          <w:sz w:val="24"/>
          <w:szCs w:val="32"/>
        </w:rPr>
        <w:t>辽金元明清五朝皇家</w:t>
      </w:r>
      <w:r>
        <w:rPr>
          <w:rFonts w:ascii="仿宋_GB2312" w:eastAsia="仿宋_GB2312" w:hAnsi="仿宋" w:cs="仿宋" w:hint="eastAsia"/>
          <w:sz w:val="24"/>
          <w:szCs w:val="32"/>
        </w:rPr>
        <w:t>苑囿</w:t>
      </w:r>
      <w:r>
        <w:rPr>
          <w:rFonts w:ascii="仿宋_GB2312" w:eastAsia="仿宋_GB2312" w:hAnsi="仿宋" w:cs="仿宋"/>
          <w:sz w:val="24"/>
          <w:szCs w:val="32"/>
        </w:rPr>
        <w:t>的</w:t>
      </w:r>
      <w:r>
        <w:rPr>
          <w:rFonts w:ascii="仿宋_GB2312" w:eastAsia="仿宋_GB2312" w:hAnsi="仿宋" w:cs="仿宋" w:hint="eastAsia"/>
          <w:sz w:val="24"/>
          <w:szCs w:val="32"/>
        </w:rPr>
        <w:t>历史</w:t>
      </w:r>
      <w:r>
        <w:rPr>
          <w:rFonts w:ascii="仿宋_GB2312" w:eastAsia="仿宋_GB2312" w:hAnsi="仿宋" w:cs="仿宋"/>
          <w:sz w:val="24"/>
          <w:szCs w:val="32"/>
        </w:rPr>
        <w:t>风貌，为市民提供</w:t>
      </w:r>
      <w:r>
        <w:rPr>
          <w:rFonts w:ascii="仿宋_GB2312" w:eastAsia="仿宋_GB2312" w:hAnsi="仿宋" w:cs="仿宋" w:hint="eastAsia"/>
          <w:sz w:val="24"/>
          <w:szCs w:val="32"/>
        </w:rPr>
        <w:t>亲绿</w:t>
      </w:r>
      <w:r>
        <w:rPr>
          <w:rFonts w:ascii="仿宋_GB2312" w:eastAsia="仿宋_GB2312" w:hAnsi="仿宋" w:cs="仿宋"/>
          <w:sz w:val="24"/>
          <w:szCs w:val="32"/>
        </w:rPr>
        <w:t>、亲水的休闲场所。</w:t>
      </w:r>
      <w:r>
        <w:rPr>
          <w:rFonts w:ascii="仿宋_GB2312" w:eastAsia="仿宋_GB2312" w:hAnsi="仿宋" w:cs="仿宋" w:hint="eastAsia"/>
          <w:sz w:val="24"/>
          <w:szCs w:val="32"/>
        </w:rPr>
        <w:t>以永定河为主线，形成滨河绿色生态走廊。</w:t>
      </w:r>
      <w:r>
        <w:rPr>
          <w:rFonts w:ascii="仿宋_GB2312" w:eastAsia="仿宋_GB2312" w:hAnsi="仿宋" w:cs="仿宋"/>
          <w:sz w:val="24"/>
          <w:szCs w:val="32"/>
        </w:rPr>
        <w:t>实现</w:t>
      </w:r>
      <w:r>
        <w:rPr>
          <w:rFonts w:ascii="仿宋_GB2312" w:eastAsia="仿宋_GB2312" w:hAnsi="仿宋" w:cs="仿宋" w:hint="eastAsia"/>
          <w:sz w:val="24"/>
          <w:szCs w:val="32"/>
        </w:rPr>
        <w:t>森林入城、公园串城，</w:t>
      </w:r>
      <w:r>
        <w:rPr>
          <w:rFonts w:ascii="仿宋_GB2312" w:eastAsia="仿宋_GB2312" w:hAnsi="仿宋" w:cs="仿宋"/>
          <w:sz w:val="24"/>
          <w:szCs w:val="32"/>
        </w:rPr>
        <w:t xml:space="preserve"> 500米进公园</w:t>
      </w:r>
      <w:r>
        <w:rPr>
          <w:rFonts w:ascii="仿宋_GB2312" w:eastAsia="仿宋_GB2312" w:hAnsi="仿宋" w:cs="仿宋" w:hint="eastAsia"/>
          <w:sz w:val="24"/>
          <w:szCs w:val="32"/>
        </w:rPr>
        <w:t>、</w:t>
      </w:r>
      <w:r>
        <w:rPr>
          <w:rFonts w:ascii="仿宋_GB2312" w:eastAsia="仿宋_GB2312" w:hAnsi="仿宋" w:cs="仿宋"/>
          <w:sz w:val="24"/>
          <w:szCs w:val="32"/>
        </w:rPr>
        <w:t>2公里进郊野</w:t>
      </w:r>
      <w:r>
        <w:rPr>
          <w:rFonts w:ascii="仿宋_GB2312" w:eastAsia="仿宋_GB2312" w:hAnsi="仿宋" w:cs="仿宋" w:hint="eastAsia"/>
          <w:sz w:val="24"/>
          <w:szCs w:val="32"/>
        </w:rPr>
        <w:t>、</w:t>
      </w:r>
      <w:r>
        <w:rPr>
          <w:rFonts w:ascii="仿宋_GB2312" w:eastAsia="仿宋_GB2312" w:hAnsi="仿宋" w:cs="仿宋"/>
          <w:sz w:val="24"/>
          <w:szCs w:val="32"/>
        </w:rPr>
        <w:t>5公里进森林的目标</w:t>
      </w:r>
      <w:r>
        <w:rPr>
          <w:rFonts w:ascii="仿宋_GB2312" w:eastAsia="仿宋_GB2312" w:hAnsi="仿宋" w:cs="仿宋" w:hint="eastAsia"/>
          <w:sz w:val="24"/>
          <w:szCs w:val="32"/>
        </w:rPr>
        <w:t>。</w:t>
      </w:r>
    </w:p>
    <w:p w14:paraId="274B557B"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_GB2312" w:cs="仿宋_GB2312" w:hint="eastAsia"/>
          <w:sz w:val="24"/>
          <w:szCs w:val="32"/>
        </w:rPr>
        <w:t>高品质建设蓝绿空间体系。依托凉水河、丰草河、小龙河、</w:t>
      </w:r>
      <w:proofErr w:type="gramStart"/>
      <w:r>
        <w:rPr>
          <w:rFonts w:ascii="仿宋_GB2312" w:eastAsia="仿宋_GB2312" w:hAnsi="仿宋_GB2312" w:cs="仿宋_GB2312" w:hint="eastAsia"/>
          <w:sz w:val="24"/>
          <w:szCs w:val="32"/>
        </w:rPr>
        <w:t>牤</w:t>
      </w:r>
      <w:proofErr w:type="gramEnd"/>
      <w:r>
        <w:rPr>
          <w:rFonts w:ascii="仿宋_GB2312" w:eastAsia="仿宋_GB2312" w:hAnsi="仿宋_GB2312" w:cs="仿宋_GB2312" w:hint="eastAsia"/>
          <w:sz w:val="24"/>
          <w:szCs w:val="32"/>
        </w:rPr>
        <w:t>牛河、九子河</w:t>
      </w:r>
      <w:r>
        <w:rPr>
          <w:rFonts w:ascii="仿宋_GB2312" w:eastAsia="仿宋_GB2312" w:hAnsi="仿宋_GB2312" w:cs="仿宋_GB2312" w:hint="eastAsia"/>
          <w:sz w:val="24"/>
          <w:szCs w:val="32"/>
        </w:rPr>
        <w:lastRenderedPageBreak/>
        <w:t>等河道主线，结合滨水绿化廊道和滨水空间，共同构建</w:t>
      </w:r>
      <w:proofErr w:type="gramStart"/>
      <w:r>
        <w:rPr>
          <w:rFonts w:ascii="仿宋_GB2312" w:eastAsia="仿宋_GB2312" w:hAnsi="仿宋_GB2312" w:cs="仿宋_GB2312" w:hint="eastAsia"/>
          <w:sz w:val="24"/>
          <w:szCs w:val="32"/>
        </w:rPr>
        <w:t>城市蓝网系统</w:t>
      </w:r>
      <w:proofErr w:type="gramEnd"/>
      <w:r>
        <w:rPr>
          <w:rFonts w:ascii="仿宋_GB2312" w:eastAsia="仿宋_GB2312" w:hAnsi="仿宋_GB2312" w:cs="仿宋_GB2312" w:hint="eastAsia"/>
          <w:sz w:val="24"/>
          <w:szCs w:val="32"/>
        </w:rPr>
        <w:t>。</w:t>
      </w:r>
    </w:p>
    <w:p w14:paraId="101B251B" w14:textId="77777777" w:rsidR="0027384A" w:rsidRDefault="00000000">
      <w:pPr>
        <w:pStyle w:val="1"/>
        <w:numPr>
          <w:ilvl w:val="0"/>
          <w:numId w:val="1"/>
        </w:numPr>
      </w:pPr>
      <w:r>
        <w:rPr>
          <w:rFonts w:hint="eastAsia"/>
        </w:rPr>
        <w:t>多元服务，带来更优生活</w:t>
      </w:r>
    </w:p>
    <w:p w14:paraId="7C6B32FA"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做好“七有”民生工作，满足市民“五性”需求，推进教育、文化、体育、医疗、养老等公共服务均衡布局，补足公共服务设施总量，提高服务质量，完善共享机制，满足多元需求，构建门类全、品质高、有特色的公共设施服务体系。</w:t>
      </w:r>
    </w:p>
    <w:p w14:paraId="378FAD89"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优化全区教育资源空间布局，河东地区重点提升教育设施保障水平，</w:t>
      </w:r>
      <w:proofErr w:type="gramStart"/>
      <w:r>
        <w:rPr>
          <w:rFonts w:ascii="仿宋_GB2312" w:eastAsia="仿宋_GB2312" w:hAnsi="仿宋" w:cs="仿宋" w:hint="eastAsia"/>
          <w:sz w:val="24"/>
          <w:szCs w:val="32"/>
        </w:rPr>
        <w:t>补足绿隔等</w:t>
      </w:r>
      <w:proofErr w:type="gramEnd"/>
      <w:r>
        <w:rPr>
          <w:rFonts w:ascii="仿宋_GB2312" w:eastAsia="仿宋_GB2312" w:hAnsi="仿宋" w:cs="仿宋" w:hint="eastAsia"/>
          <w:sz w:val="24"/>
          <w:szCs w:val="32"/>
        </w:rPr>
        <w:t>地区缺口，河西地区优化调整教育设施布局，引入优质、高标准学校，改善办学条件。</w:t>
      </w:r>
    </w:p>
    <w:p w14:paraId="1E013F68"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构建布局合理、功能健全、层次分明、优质高效的医疗卫生服务体系，统筹城乡，实现医疗卫生资源的全覆盖与均等化。</w:t>
      </w:r>
    </w:p>
    <w:p w14:paraId="30EA3C11"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健全覆盖区、街道（地区）、社区（村）</w:t>
      </w:r>
      <w:r>
        <w:rPr>
          <w:rFonts w:ascii="仿宋_GB2312" w:eastAsia="仿宋_GB2312" w:hAnsi="仿宋" w:cs="仿宋"/>
          <w:sz w:val="24"/>
          <w:szCs w:val="32"/>
        </w:rPr>
        <w:t>三级养老服务网络，养老照料中心实现街乡镇全覆盖</w:t>
      </w:r>
      <w:r>
        <w:rPr>
          <w:rFonts w:ascii="仿宋_GB2312" w:eastAsia="仿宋_GB2312" w:hAnsi="仿宋" w:cs="仿宋" w:hint="eastAsia"/>
          <w:sz w:val="24"/>
          <w:szCs w:val="32"/>
        </w:rPr>
        <w:t>。</w:t>
      </w:r>
    </w:p>
    <w:p w14:paraId="250F365D"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建立“国家</w:t>
      </w:r>
      <w:r>
        <w:rPr>
          <w:rFonts w:ascii="仿宋_GB2312" w:eastAsia="仿宋_GB2312" w:hAnsi="仿宋" w:cs="仿宋"/>
          <w:sz w:val="24"/>
          <w:szCs w:val="32"/>
        </w:rPr>
        <w:t>/市、区、地区、街乡镇、社区（村）</w:t>
      </w:r>
      <w:r>
        <w:rPr>
          <w:rFonts w:ascii="仿宋_GB2312" w:eastAsia="仿宋_GB2312" w:hAnsi="仿宋" w:cs="仿宋"/>
          <w:sz w:val="24"/>
          <w:szCs w:val="32"/>
        </w:rPr>
        <w:t>”</w:t>
      </w:r>
      <w:r>
        <w:rPr>
          <w:rFonts w:ascii="仿宋_GB2312" w:eastAsia="仿宋_GB2312" w:hAnsi="仿宋" w:cs="仿宋"/>
          <w:sz w:val="24"/>
          <w:szCs w:val="32"/>
        </w:rPr>
        <w:t>五级公共文化设施服务体系，实现公共文化设施城乡全覆盖</w:t>
      </w:r>
      <w:r>
        <w:rPr>
          <w:rFonts w:ascii="仿宋_GB2312" w:eastAsia="仿宋_GB2312" w:hAnsi="仿宋" w:cs="仿宋" w:hint="eastAsia"/>
          <w:sz w:val="24"/>
          <w:szCs w:val="32"/>
        </w:rPr>
        <w:t>。</w:t>
      </w:r>
    </w:p>
    <w:p w14:paraId="53A54DA0"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按照“市区级-</w:t>
      </w:r>
      <w:r>
        <w:rPr>
          <w:rFonts w:ascii="仿宋_GB2312" w:eastAsia="仿宋_GB2312" w:hAnsi="仿宋" w:cs="仿宋"/>
          <w:sz w:val="24"/>
          <w:szCs w:val="32"/>
        </w:rPr>
        <w:t>街道（</w:t>
      </w:r>
      <w:r>
        <w:rPr>
          <w:rFonts w:ascii="仿宋_GB2312" w:eastAsia="仿宋_GB2312" w:hAnsi="仿宋" w:cs="仿宋" w:hint="eastAsia"/>
          <w:sz w:val="24"/>
          <w:szCs w:val="32"/>
        </w:rPr>
        <w:t>乡</w:t>
      </w:r>
      <w:r>
        <w:rPr>
          <w:rFonts w:ascii="仿宋_GB2312" w:eastAsia="仿宋_GB2312" w:hAnsi="仿宋" w:cs="仿宋"/>
          <w:sz w:val="24"/>
          <w:szCs w:val="32"/>
        </w:rPr>
        <w:t>镇）级</w:t>
      </w:r>
      <w:r>
        <w:rPr>
          <w:rFonts w:ascii="仿宋_GB2312" w:eastAsia="仿宋_GB2312" w:hAnsi="仿宋" w:cs="仿宋" w:hint="eastAsia"/>
          <w:sz w:val="24"/>
          <w:szCs w:val="32"/>
        </w:rPr>
        <w:t>-</w:t>
      </w:r>
      <w:r>
        <w:rPr>
          <w:rFonts w:ascii="仿宋_GB2312" w:eastAsia="仿宋_GB2312" w:hAnsi="仿宋" w:cs="仿宋"/>
          <w:sz w:val="24"/>
          <w:szCs w:val="32"/>
        </w:rPr>
        <w:t>社区（村）级</w:t>
      </w:r>
      <w:r>
        <w:rPr>
          <w:rFonts w:ascii="仿宋_GB2312" w:eastAsia="仿宋_GB2312" w:hAnsi="仿宋" w:cs="仿宋"/>
          <w:sz w:val="24"/>
          <w:szCs w:val="32"/>
        </w:rPr>
        <w:t>”</w:t>
      </w:r>
      <w:r>
        <w:rPr>
          <w:rFonts w:ascii="仿宋_GB2312" w:eastAsia="仿宋_GB2312" w:hAnsi="仿宋" w:cs="仿宋"/>
          <w:sz w:val="24"/>
          <w:szCs w:val="32"/>
        </w:rPr>
        <w:t>三级配置公共体育设施</w:t>
      </w:r>
      <w:r>
        <w:rPr>
          <w:rFonts w:ascii="仿宋_GB2312" w:eastAsia="仿宋_GB2312" w:hAnsi="仿宋" w:cs="仿宋" w:hint="eastAsia"/>
          <w:sz w:val="24"/>
          <w:szCs w:val="32"/>
        </w:rPr>
        <w:t>，构建层次分明、布局合理的公共体育设施服务体系。</w:t>
      </w:r>
    </w:p>
    <w:p w14:paraId="079FC3AD"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优化现有物流设施格局，建设形成</w:t>
      </w:r>
      <w:r>
        <w:rPr>
          <w:rFonts w:ascii="仿宋_GB2312" w:eastAsia="仿宋_GB2312" w:hAnsi="仿宋" w:cs="仿宋"/>
          <w:sz w:val="24"/>
          <w:szCs w:val="32"/>
        </w:rPr>
        <w:t>物流中心+配送中心+末端网点的物流网络体系</w:t>
      </w:r>
      <w:r>
        <w:rPr>
          <w:rFonts w:ascii="仿宋_GB2312" w:eastAsia="仿宋_GB2312" w:hAnsi="仿宋" w:cs="仿宋" w:hint="eastAsia"/>
          <w:sz w:val="24"/>
          <w:szCs w:val="32"/>
        </w:rPr>
        <w:t>。</w:t>
      </w:r>
    </w:p>
    <w:p w14:paraId="17228171"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提高生活性服务业品质，实现城乡“一刻钟社区服务圈”全覆盖，鼓励</w:t>
      </w:r>
      <w:r>
        <w:rPr>
          <w:rFonts w:ascii="仿宋_GB2312" w:eastAsia="仿宋_GB2312" w:hAnsi="仿宋" w:cs="仿宋"/>
          <w:sz w:val="24"/>
          <w:szCs w:val="32"/>
        </w:rPr>
        <w:t>公</w:t>
      </w:r>
      <w:r>
        <w:rPr>
          <w:rFonts w:ascii="仿宋_GB2312" w:eastAsia="仿宋_GB2312" w:hAnsi="仿宋" w:cs="仿宋" w:hint="eastAsia"/>
          <w:sz w:val="24"/>
          <w:szCs w:val="32"/>
        </w:rPr>
        <w:t>共服务设施功能兼容、复合利用，增强人民群众获得感。</w:t>
      </w:r>
    </w:p>
    <w:p w14:paraId="21CC8B5E" w14:textId="77777777" w:rsidR="0027384A" w:rsidRDefault="00000000">
      <w:pPr>
        <w:pStyle w:val="1"/>
        <w:numPr>
          <w:ilvl w:val="0"/>
          <w:numId w:val="1"/>
        </w:numPr>
      </w:pPr>
      <w:r>
        <w:rPr>
          <w:rFonts w:hint="eastAsia"/>
        </w:rPr>
        <w:t>文化驱动，打造三区十景</w:t>
      </w:r>
    </w:p>
    <w:p w14:paraId="3F0B5B48"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深入挖掘丰台作为北京建都起源见证地、红色革命文化传承地、古今重要交通汇聚地、古都生态文化涵养地、中国航天事业孕育地的五大代表性文化特色，保护历史文化资源，推进文化遗产活化利用，加强文化传承与重点功能区建设的紧密结合，以文化</w:t>
      </w:r>
      <w:proofErr w:type="gramStart"/>
      <w:r>
        <w:rPr>
          <w:rFonts w:ascii="仿宋_GB2312" w:eastAsia="仿宋_GB2312" w:hAnsi="仿宋" w:cs="仿宋" w:hint="eastAsia"/>
          <w:sz w:val="24"/>
          <w:szCs w:val="32"/>
        </w:rPr>
        <w:t>软实力</w:t>
      </w:r>
      <w:proofErr w:type="gramEnd"/>
      <w:r>
        <w:rPr>
          <w:rFonts w:ascii="仿宋_GB2312" w:eastAsia="仿宋_GB2312" w:hAnsi="仿宋" w:cs="仿宋" w:hint="eastAsia"/>
          <w:sz w:val="24"/>
          <w:szCs w:val="32"/>
        </w:rPr>
        <w:t>提升综合竞争力。以南中轴和永定河文化带统领文化空间结构，构建莲花池-金中都、南中轴-南苑、卢沟桥-宛平城-长辛店等特色文化板块，打造丰台文化十景，书写“中轴永定承古韵，蓝脉绿廊绕今城”的新时代</w:t>
      </w:r>
      <w:r>
        <w:rPr>
          <w:rFonts w:ascii="仿宋_GB2312" w:eastAsia="仿宋_GB2312" w:hAnsi="仿宋" w:cs="仿宋" w:hint="eastAsia"/>
          <w:sz w:val="24"/>
          <w:szCs w:val="32"/>
        </w:rPr>
        <w:lastRenderedPageBreak/>
        <w:t>城市篇章（图12）。</w:t>
      </w:r>
    </w:p>
    <w:p w14:paraId="31B9B399" w14:textId="77777777" w:rsidR="0027384A" w:rsidRDefault="00000000">
      <w:pPr>
        <w:spacing w:line="360" w:lineRule="auto"/>
        <w:jc w:val="center"/>
        <w:rPr>
          <w:rFonts w:ascii="仿宋_GB2312" w:eastAsia="仿宋_GB2312" w:hAnsi="仿宋" w:cs="仿宋"/>
          <w:sz w:val="24"/>
          <w:szCs w:val="32"/>
        </w:rPr>
      </w:pPr>
      <w:r>
        <w:rPr>
          <w:rFonts w:ascii="仿宋_GB2312" w:eastAsia="仿宋_GB2312" w:hAnsi="仿宋" w:cs="仿宋" w:hint="eastAsia"/>
          <w:noProof/>
          <w:sz w:val="24"/>
          <w:szCs w:val="32"/>
        </w:rPr>
        <w:drawing>
          <wp:inline distT="0" distB="0" distL="0" distR="0" wp14:anchorId="46844841" wp14:editId="5BD4B8C8">
            <wp:extent cx="4779010" cy="2383155"/>
            <wp:effectExtent l="19050" t="0" r="2286" b="0"/>
            <wp:docPr id="16" name="图片 15" descr="图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图片3.jpg"/>
                    <pic:cNvPicPr>
                      <a:picLocks noChangeAspect="1"/>
                    </pic:cNvPicPr>
                  </pic:nvPicPr>
                  <pic:blipFill>
                    <a:blip r:embed="rId17" cstate="print"/>
                    <a:stretch>
                      <a:fillRect/>
                    </a:stretch>
                  </pic:blipFill>
                  <pic:spPr>
                    <a:xfrm>
                      <a:off x="0" y="0"/>
                      <a:ext cx="4779264" cy="2383536"/>
                    </a:xfrm>
                    <a:prstGeom prst="rect">
                      <a:avLst/>
                    </a:prstGeom>
                  </pic:spPr>
                </pic:pic>
              </a:graphicData>
            </a:graphic>
          </wp:inline>
        </w:drawing>
      </w:r>
    </w:p>
    <w:p w14:paraId="3C2BB146" w14:textId="77777777" w:rsidR="0027384A" w:rsidRDefault="00000000">
      <w:pPr>
        <w:spacing w:line="360" w:lineRule="auto"/>
        <w:jc w:val="center"/>
        <w:rPr>
          <w:rFonts w:ascii="仿宋_GB2312" w:eastAsia="仿宋_GB2312" w:hAnsi="仿宋" w:cs="仿宋"/>
          <w:b/>
          <w:bCs/>
          <w:sz w:val="18"/>
          <w:szCs w:val="18"/>
        </w:rPr>
      </w:pPr>
      <w:r>
        <w:rPr>
          <w:rFonts w:ascii="仿宋_GB2312" w:eastAsia="仿宋_GB2312" w:hAnsi="仿宋" w:cs="仿宋" w:hint="eastAsia"/>
          <w:b/>
          <w:bCs/>
          <w:sz w:val="18"/>
          <w:szCs w:val="18"/>
        </w:rPr>
        <w:t>图12 文化传承结构规划图</w:t>
      </w:r>
    </w:p>
    <w:p w14:paraId="733CA936" w14:textId="77777777" w:rsidR="0027384A" w:rsidRDefault="00000000">
      <w:pPr>
        <w:spacing w:line="360" w:lineRule="auto"/>
        <w:ind w:firstLineChars="200" w:firstLine="482"/>
        <w:jc w:val="left"/>
        <w:rPr>
          <w:rFonts w:ascii="仿宋_GB2312" w:eastAsia="仿宋_GB2312" w:hAnsi="仿宋" w:cs="仿宋"/>
          <w:b/>
          <w:sz w:val="24"/>
          <w:szCs w:val="32"/>
        </w:rPr>
      </w:pPr>
      <w:r>
        <w:rPr>
          <w:rFonts w:ascii="仿宋_GB2312" w:eastAsia="仿宋_GB2312" w:hAnsi="仿宋" w:cs="仿宋"/>
          <w:b/>
          <w:sz w:val="24"/>
          <w:szCs w:val="32"/>
        </w:rPr>
        <w:t>9.1莲花池-金中都文化板块</w:t>
      </w:r>
    </w:p>
    <w:p w14:paraId="79347433"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结合莲花池、凉水河等历史水系，建设金中都遗址公园及金中都博物馆、户外文化交流空间等</w:t>
      </w:r>
      <w:r>
        <w:rPr>
          <w:rFonts w:ascii="仿宋_GB2312" w:eastAsia="仿宋_GB2312" w:hAnsi="仿宋" w:cs="仿宋"/>
          <w:sz w:val="24"/>
          <w:szCs w:val="32"/>
        </w:rPr>
        <w:t>公共文化场所</w:t>
      </w:r>
      <w:r>
        <w:rPr>
          <w:rFonts w:ascii="仿宋_GB2312" w:eastAsia="仿宋_GB2312" w:hAnsi="仿宋" w:cs="仿宋" w:hint="eastAsia"/>
          <w:sz w:val="24"/>
          <w:szCs w:val="32"/>
        </w:rPr>
        <w:t>，带动历史遗存与丽泽金融商务区的融合发展。</w:t>
      </w:r>
    </w:p>
    <w:p w14:paraId="6C5AC4D5" w14:textId="77777777" w:rsidR="0027384A" w:rsidRDefault="00000000">
      <w:pPr>
        <w:spacing w:line="360" w:lineRule="auto"/>
        <w:ind w:firstLineChars="200" w:firstLine="482"/>
        <w:jc w:val="left"/>
        <w:rPr>
          <w:rFonts w:ascii="仿宋_GB2312" w:eastAsia="仿宋_GB2312" w:hAnsi="仿宋" w:cs="仿宋"/>
          <w:b/>
          <w:sz w:val="24"/>
          <w:szCs w:val="32"/>
        </w:rPr>
      </w:pPr>
      <w:r>
        <w:rPr>
          <w:rFonts w:ascii="仿宋_GB2312" w:eastAsia="仿宋_GB2312" w:hAnsi="仿宋" w:cs="仿宋"/>
          <w:b/>
          <w:sz w:val="24"/>
          <w:szCs w:val="32"/>
        </w:rPr>
        <w:t>9.2南中轴-</w:t>
      </w:r>
      <w:r>
        <w:rPr>
          <w:rFonts w:ascii="仿宋_GB2312" w:eastAsia="仿宋_GB2312" w:hAnsi="仿宋" w:cs="仿宋" w:hint="eastAsia"/>
          <w:b/>
          <w:sz w:val="24"/>
          <w:szCs w:val="32"/>
        </w:rPr>
        <w:t>南苑文化板块</w:t>
      </w:r>
    </w:p>
    <w:p w14:paraId="713E0667"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深入</w:t>
      </w:r>
      <w:r>
        <w:rPr>
          <w:rFonts w:ascii="仿宋_GB2312" w:eastAsia="仿宋_GB2312" w:hAnsi="仿宋" w:cs="仿宋"/>
          <w:sz w:val="24"/>
          <w:szCs w:val="32"/>
        </w:rPr>
        <w:t>挖掘南中轴</w:t>
      </w:r>
      <w:r>
        <w:rPr>
          <w:rFonts w:ascii="仿宋_GB2312" w:eastAsia="仿宋_GB2312" w:hAnsi="仿宋" w:cs="仿宋" w:hint="eastAsia"/>
          <w:sz w:val="24"/>
          <w:szCs w:val="32"/>
        </w:rPr>
        <w:t>-南苑</w:t>
      </w:r>
      <w:r>
        <w:rPr>
          <w:rFonts w:ascii="仿宋_GB2312" w:eastAsia="仿宋_GB2312" w:hAnsi="仿宋" w:cs="仿宋"/>
          <w:sz w:val="24"/>
          <w:szCs w:val="32"/>
        </w:rPr>
        <w:t>辽金元明清皇家苑囿历史文化资源，整合抗战遗存、航天航空</w:t>
      </w:r>
      <w:r>
        <w:rPr>
          <w:rFonts w:ascii="仿宋_GB2312" w:eastAsia="仿宋_GB2312" w:hAnsi="仿宋" w:cs="仿宋" w:hint="eastAsia"/>
          <w:sz w:val="24"/>
          <w:szCs w:val="32"/>
        </w:rPr>
        <w:t>等文化要素</w:t>
      </w:r>
      <w:r>
        <w:rPr>
          <w:rFonts w:ascii="仿宋_GB2312" w:eastAsia="仿宋_GB2312" w:hAnsi="仿宋" w:cs="仿宋"/>
          <w:sz w:val="24"/>
          <w:szCs w:val="32"/>
        </w:rPr>
        <w:t>，</w:t>
      </w:r>
      <w:r>
        <w:rPr>
          <w:rFonts w:ascii="仿宋_GB2312" w:eastAsia="仿宋_GB2312" w:hAnsi="仿宋" w:cs="仿宋" w:hint="eastAsia"/>
          <w:sz w:val="24"/>
          <w:szCs w:val="32"/>
        </w:rPr>
        <w:t>还原具有“野趣”的历史生态</w:t>
      </w:r>
      <w:r>
        <w:rPr>
          <w:rFonts w:ascii="仿宋_GB2312" w:eastAsia="仿宋_GB2312" w:hAnsi="仿宋" w:cs="仿宋"/>
          <w:sz w:val="24"/>
          <w:szCs w:val="32"/>
        </w:rPr>
        <w:t>风貌</w:t>
      </w:r>
      <w:r>
        <w:rPr>
          <w:rFonts w:ascii="仿宋_GB2312" w:eastAsia="仿宋_GB2312" w:hAnsi="仿宋" w:cs="仿宋" w:hint="eastAsia"/>
          <w:sz w:val="24"/>
          <w:szCs w:val="32"/>
        </w:rPr>
        <w:t>，植入国家</w:t>
      </w:r>
      <w:r>
        <w:rPr>
          <w:rFonts w:ascii="仿宋_GB2312" w:eastAsia="仿宋_GB2312" w:hAnsi="仿宋" w:cs="仿宋"/>
          <w:sz w:val="24"/>
          <w:szCs w:val="32"/>
        </w:rPr>
        <w:t>文化</w:t>
      </w:r>
      <w:r>
        <w:rPr>
          <w:rFonts w:ascii="仿宋_GB2312" w:eastAsia="仿宋_GB2312" w:hAnsi="仿宋" w:cs="仿宋" w:hint="eastAsia"/>
          <w:sz w:val="24"/>
          <w:szCs w:val="32"/>
        </w:rPr>
        <w:t>展示</w:t>
      </w:r>
      <w:r>
        <w:rPr>
          <w:rFonts w:ascii="仿宋_GB2312" w:eastAsia="仿宋_GB2312" w:hAnsi="仿宋" w:cs="仿宋"/>
          <w:sz w:val="24"/>
          <w:szCs w:val="32"/>
        </w:rPr>
        <w:t>、</w:t>
      </w:r>
      <w:r>
        <w:rPr>
          <w:rFonts w:ascii="仿宋_GB2312" w:eastAsia="仿宋_GB2312" w:hAnsi="仿宋" w:cs="仿宋" w:hint="eastAsia"/>
          <w:sz w:val="24"/>
          <w:szCs w:val="32"/>
        </w:rPr>
        <w:t>国际文化交往等功能，促进生态文化与现代城市的和谐共生。</w:t>
      </w:r>
    </w:p>
    <w:p w14:paraId="73889454" w14:textId="77777777" w:rsidR="0027384A" w:rsidRDefault="00000000">
      <w:pPr>
        <w:spacing w:line="360" w:lineRule="auto"/>
        <w:ind w:firstLineChars="200" w:firstLine="482"/>
        <w:jc w:val="left"/>
        <w:rPr>
          <w:rFonts w:ascii="仿宋_GB2312" w:eastAsia="仿宋_GB2312" w:hAnsi="仿宋" w:cs="仿宋"/>
          <w:b/>
          <w:sz w:val="24"/>
          <w:szCs w:val="32"/>
        </w:rPr>
      </w:pPr>
      <w:r>
        <w:rPr>
          <w:rFonts w:ascii="仿宋_GB2312" w:eastAsia="仿宋_GB2312" w:hAnsi="仿宋" w:cs="仿宋"/>
          <w:b/>
          <w:sz w:val="24"/>
          <w:szCs w:val="32"/>
        </w:rPr>
        <w:t>9.3卢沟桥-</w:t>
      </w:r>
      <w:r>
        <w:rPr>
          <w:rFonts w:ascii="仿宋_GB2312" w:eastAsia="仿宋_GB2312" w:hAnsi="仿宋" w:cs="仿宋" w:hint="eastAsia"/>
          <w:b/>
          <w:sz w:val="24"/>
          <w:szCs w:val="32"/>
        </w:rPr>
        <w:t>宛平城</w:t>
      </w:r>
      <w:r>
        <w:rPr>
          <w:rFonts w:ascii="仿宋_GB2312" w:eastAsia="仿宋_GB2312" w:hAnsi="仿宋" w:cs="仿宋"/>
          <w:b/>
          <w:sz w:val="24"/>
          <w:szCs w:val="32"/>
        </w:rPr>
        <w:t>-</w:t>
      </w:r>
      <w:r>
        <w:rPr>
          <w:rFonts w:ascii="仿宋_GB2312" w:eastAsia="仿宋_GB2312" w:hAnsi="仿宋" w:cs="仿宋" w:hint="eastAsia"/>
          <w:b/>
          <w:sz w:val="24"/>
          <w:szCs w:val="32"/>
        </w:rPr>
        <w:t>长辛店文化板块</w:t>
      </w:r>
    </w:p>
    <w:p w14:paraId="59AF3E8B"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建设卢沟桥国家文化公园区，保护宛平城历史风貌和长辛店街区历史肌理，塑造</w:t>
      </w:r>
      <w:r>
        <w:rPr>
          <w:rFonts w:ascii="仿宋_GB2312" w:eastAsia="仿宋_GB2312" w:hAnsi="仿宋" w:cs="仿宋"/>
          <w:sz w:val="24"/>
          <w:szCs w:val="32"/>
        </w:rPr>
        <w:t>成为</w:t>
      </w:r>
      <w:r>
        <w:rPr>
          <w:rFonts w:ascii="仿宋_GB2312" w:eastAsia="仿宋_GB2312" w:hAnsi="仿宋" w:cs="仿宋" w:hint="eastAsia"/>
          <w:sz w:val="24"/>
          <w:szCs w:val="32"/>
        </w:rPr>
        <w:t>弘扬爱国主义精神的教育地、凝聚中华民族精神的纪念地、促进国际和平交流的承载地</w:t>
      </w:r>
      <w:r>
        <w:rPr>
          <w:rFonts w:ascii="仿宋_GB2312" w:eastAsia="仿宋_GB2312" w:hAnsi="仿宋" w:cs="仿宋"/>
          <w:sz w:val="24"/>
          <w:szCs w:val="32"/>
        </w:rPr>
        <w:t>。</w:t>
      </w:r>
    </w:p>
    <w:p w14:paraId="32FF4738" w14:textId="77777777" w:rsidR="0027384A" w:rsidRDefault="00000000">
      <w:pPr>
        <w:pStyle w:val="1"/>
        <w:numPr>
          <w:ilvl w:val="0"/>
          <w:numId w:val="1"/>
        </w:numPr>
      </w:pPr>
      <w:r>
        <w:rPr>
          <w:rFonts w:hint="eastAsia"/>
        </w:rPr>
        <w:t>城市设计，塑造特色风貌</w:t>
      </w:r>
    </w:p>
    <w:p w14:paraId="065BF854"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建立贯穿城乡规划建设管理全过程的城市设计管理体系，加强城市设计引领，统筹城市建筑布局。强化建筑风貌、建筑高度、城市色彩、第五立面、城市天际线等规划管控，营造协调有序的城市格局、清新怡人的景观环境和富有活力的街道空间，</w:t>
      </w:r>
      <w:r>
        <w:rPr>
          <w:rFonts w:ascii="仿宋_GB2312" w:eastAsia="仿宋_GB2312" w:hAnsi="仿宋" w:cs="仿宋"/>
          <w:sz w:val="24"/>
          <w:szCs w:val="32"/>
        </w:rPr>
        <w:t>构建</w:t>
      </w:r>
      <w:r>
        <w:rPr>
          <w:rFonts w:ascii="仿宋_GB2312" w:eastAsia="仿宋_GB2312" w:hAnsi="仿宋" w:cs="仿宋"/>
          <w:sz w:val="24"/>
          <w:szCs w:val="32"/>
        </w:rPr>
        <w:t>“</w:t>
      </w:r>
      <w:r>
        <w:rPr>
          <w:rFonts w:ascii="仿宋_GB2312" w:eastAsia="仿宋_GB2312" w:hAnsi="仿宋" w:cs="仿宋" w:hint="eastAsia"/>
          <w:sz w:val="24"/>
          <w:szCs w:val="32"/>
        </w:rPr>
        <w:t>一轴一河</w:t>
      </w:r>
      <w:r>
        <w:rPr>
          <w:rFonts w:ascii="仿宋_GB2312" w:eastAsia="仿宋_GB2312" w:hAnsi="仿宋" w:cs="仿宋"/>
          <w:sz w:val="24"/>
          <w:szCs w:val="32"/>
        </w:rPr>
        <w:t>承</w:t>
      </w:r>
      <w:r>
        <w:rPr>
          <w:rFonts w:ascii="仿宋_GB2312" w:eastAsia="仿宋_GB2312" w:hAnsi="仿宋" w:cs="仿宋" w:hint="eastAsia"/>
          <w:sz w:val="24"/>
          <w:szCs w:val="32"/>
        </w:rPr>
        <w:t>古韵</w:t>
      </w:r>
      <w:r>
        <w:rPr>
          <w:rFonts w:ascii="仿宋_GB2312" w:eastAsia="仿宋_GB2312" w:hAnsi="仿宋" w:cs="仿宋"/>
          <w:sz w:val="24"/>
          <w:szCs w:val="32"/>
        </w:rPr>
        <w:t>、</w:t>
      </w:r>
      <w:r>
        <w:rPr>
          <w:rFonts w:ascii="仿宋_GB2312" w:eastAsia="仿宋_GB2312" w:hAnsi="仿宋" w:cs="仿宋" w:hint="eastAsia"/>
          <w:sz w:val="24"/>
          <w:szCs w:val="32"/>
        </w:rPr>
        <w:t>绿廊通</w:t>
      </w:r>
      <w:r>
        <w:rPr>
          <w:rFonts w:ascii="仿宋_GB2312" w:eastAsia="仿宋_GB2312" w:hAnsi="仿宋" w:cs="仿宋"/>
          <w:sz w:val="24"/>
          <w:szCs w:val="32"/>
        </w:rPr>
        <w:t>融贯</w:t>
      </w:r>
      <w:r>
        <w:rPr>
          <w:rFonts w:ascii="仿宋_GB2312" w:eastAsia="仿宋_GB2312" w:hAnsi="仿宋" w:cs="仿宋" w:hint="eastAsia"/>
          <w:sz w:val="24"/>
          <w:szCs w:val="32"/>
        </w:rPr>
        <w:t>西东，青山逶迤半入城、蓝脉四区</w:t>
      </w:r>
      <w:r>
        <w:rPr>
          <w:rFonts w:ascii="仿宋_GB2312" w:eastAsia="仿宋_GB2312" w:hAnsi="仿宋" w:cs="仿宋"/>
          <w:sz w:val="24"/>
          <w:szCs w:val="32"/>
        </w:rPr>
        <w:t>嵌</w:t>
      </w:r>
      <w:r>
        <w:rPr>
          <w:rFonts w:ascii="仿宋_GB2312" w:eastAsia="仿宋_GB2312" w:hAnsi="仿宋" w:cs="仿宋" w:hint="eastAsia"/>
          <w:sz w:val="24"/>
          <w:szCs w:val="32"/>
        </w:rPr>
        <w:t>其中</w:t>
      </w:r>
      <w:r>
        <w:rPr>
          <w:rFonts w:ascii="仿宋_GB2312" w:eastAsia="仿宋_GB2312" w:hAnsi="仿宋" w:cs="仿宋"/>
          <w:sz w:val="24"/>
          <w:szCs w:val="32"/>
        </w:rPr>
        <w:t>”</w:t>
      </w:r>
      <w:r>
        <w:rPr>
          <w:rFonts w:ascii="仿宋_GB2312" w:eastAsia="仿宋_GB2312" w:hAnsi="仿宋" w:cs="仿宋" w:hint="eastAsia"/>
          <w:sz w:val="24"/>
          <w:szCs w:val="32"/>
        </w:rPr>
        <w:t>的</w:t>
      </w:r>
      <w:r>
        <w:rPr>
          <w:rFonts w:ascii="仿宋_GB2312" w:eastAsia="仿宋_GB2312" w:hAnsi="仿宋" w:cs="仿宋"/>
          <w:sz w:val="24"/>
          <w:szCs w:val="32"/>
        </w:rPr>
        <w:t>总体城市景观格局</w:t>
      </w:r>
      <w:r>
        <w:rPr>
          <w:rFonts w:ascii="仿宋_GB2312" w:eastAsia="仿宋_GB2312" w:hAnsi="仿宋" w:cs="仿宋" w:hint="eastAsia"/>
          <w:sz w:val="24"/>
          <w:szCs w:val="32"/>
        </w:rPr>
        <w:t>（图13）</w:t>
      </w:r>
      <w:r>
        <w:rPr>
          <w:rFonts w:ascii="仿宋_GB2312" w:eastAsia="仿宋_GB2312" w:hAnsi="仿宋" w:cs="仿宋"/>
          <w:sz w:val="24"/>
          <w:szCs w:val="32"/>
        </w:rPr>
        <w:t>。</w:t>
      </w:r>
    </w:p>
    <w:p w14:paraId="11525ED9" w14:textId="77777777" w:rsidR="0027384A" w:rsidRDefault="00000000">
      <w:pPr>
        <w:spacing w:line="360" w:lineRule="auto"/>
        <w:jc w:val="center"/>
        <w:rPr>
          <w:rFonts w:ascii="仿宋_GB2312" w:eastAsia="仿宋_GB2312" w:hAnsi="仿宋" w:cs="仿宋"/>
          <w:sz w:val="24"/>
          <w:szCs w:val="32"/>
        </w:rPr>
      </w:pPr>
      <w:r>
        <w:rPr>
          <w:rFonts w:ascii="仿宋_GB2312" w:eastAsia="仿宋_GB2312" w:hAnsi="仿宋" w:cs="仿宋" w:hint="eastAsia"/>
          <w:noProof/>
          <w:sz w:val="24"/>
          <w:szCs w:val="32"/>
        </w:rPr>
        <w:lastRenderedPageBreak/>
        <w:drawing>
          <wp:inline distT="0" distB="0" distL="0" distR="0" wp14:anchorId="0AC1C253" wp14:editId="4648B2AF">
            <wp:extent cx="4900930" cy="2407920"/>
            <wp:effectExtent l="19050" t="0" r="0" b="0"/>
            <wp:docPr id="17" name="图片 16" descr="图片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图片4.jpg"/>
                    <pic:cNvPicPr>
                      <a:picLocks noChangeAspect="1"/>
                    </pic:cNvPicPr>
                  </pic:nvPicPr>
                  <pic:blipFill>
                    <a:blip r:embed="rId18" cstate="print"/>
                    <a:stretch>
                      <a:fillRect/>
                    </a:stretch>
                  </pic:blipFill>
                  <pic:spPr>
                    <a:xfrm>
                      <a:off x="0" y="0"/>
                      <a:ext cx="4901184" cy="2407920"/>
                    </a:xfrm>
                    <a:prstGeom prst="rect">
                      <a:avLst/>
                    </a:prstGeom>
                  </pic:spPr>
                </pic:pic>
              </a:graphicData>
            </a:graphic>
          </wp:inline>
        </w:drawing>
      </w:r>
    </w:p>
    <w:p w14:paraId="200D6461" w14:textId="77777777" w:rsidR="0027384A" w:rsidRDefault="00000000">
      <w:pPr>
        <w:spacing w:line="360" w:lineRule="auto"/>
        <w:jc w:val="center"/>
        <w:rPr>
          <w:rFonts w:ascii="仿宋_GB2312" w:eastAsia="仿宋_GB2312" w:hAnsi="仿宋" w:cs="仿宋"/>
          <w:sz w:val="18"/>
          <w:szCs w:val="18"/>
        </w:rPr>
      </w:pPr>
      <w:r>
        <w:rPr>
          <w:rFonts w:ascii="仿宋_GB2312" w:eastAsia="仿宋_GB2312" w:hAnsi="仿宋" w:cs="仿宋" w:hint="eastAsia"/>
          <w:b/>
          <w:bCs/>
          <w:sz w:val="18"/>
          <w:szCs w:val="18"/>
        </w:rPr>
        <w:t>图13 风貌分区规划图</w:t>
      </w:r>
    </w:p>
    <w:p w14:paraId="3CD0A3E5"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塑造首都风范、永定风韵、中轴风尚的城市风貌。划定现代商务区等六类风貌区，通过</w:t>
      </w:r>
      <w:r>
        <w:rPr>
          <w:rFonts w:ascii="仿宋_GB2312" w:eastAsia="仿宋_GB2312" w:hAnsi="仿宋" w:cs="仿宋"/>
          <w:sz w:val="24"/>
          <w:szCs w:val="32"/>
        </w:rPr>
        <w:t>重要</w:t>
      </w:r>
      <w:r>
        <w:rPr>
          <w:rFonts w:ascii="仿宋_GB2312" w:eastAsia="仿宋_GB2312" w:hAnsi="仿宋" w:cs="仿宋" w:hint="eastAsia"/>
          <w:sz w:val="24"/>
          <w:szCs w:val="32"/>
        </w:rPr>
        <w:t>界面</w:t>
      </w:r>
      <w:r>
        <w:rPr>
          <w:rFonts w:ascii="仿宋_GB2312" w:eastAsia="仿宋_GB2312" w:hAnsi="仿宋" w:cs="仿宋"/>
          <w:sz w:val="24"/>
          <w:szCs w:val="32"/>
        </w:rPr>
        <w:t>控制、地标建筑</w:t>
      </w:r>
      <w:r>
        <w:rPr>
          <w:rFonts w:ascii="仿宋_GB2312" w:eastAsia="仿宋_GB2312" w:hAnsi="仿宋" w:cs="仿宋" w:hint="eastAsia"/>
          <w:sz w:val="24"/>
          <w:szCs w:val="32"/>
        </w:rPr>
        <w:t>管控等手段</w:t>
      </w:r>
      <w:r>
        <w:rPr>
          <w:rFonts w:ascii="仿宋_GB2312" w:eastAsia="仿宋_GB2312" w:hAnsi="仿宋" w:cs="仿宋"/>
          <w:sz w:val="24"/>
          <w:szCs w:val="32"/>
        </w:rPr>
        <w:t>，</w:t>
      </w:r>
      <w:r>
        <w:rPr>
          <w:rFonts w:ascii="仿宋_GB2312" w:eastAsia="仿宋_GB2312" w:hAnsi="仿宋" w:cs="仿宋" w:hint="eastAsia"/>
          <w:sz w:val="24"/>
          <w:szCs w:val="32"/>
        </w:rPr>
        <w:t>强化</w:t>
      </w:r>
      <w:r>
        <w:rPr>
          <w:rFonts w:ascii="仿宋_GB2312" w:eastAsia="仿宋_GB2312" w:hAnsi="仿宋" w:cs="仿宋"/>
          <w:sz w:val="24"/>
          <w:szCs w:val="32"/>
        </w:rPr>
        <w:t>城市风貌秩序</w:t>
      </w:r>
      <w:r>
        <w:rPr>
          <w:rFonts w:ascii="仿宋_GB2312" w:eastAsia="仿宋_GB2312" w:hAnsi="仿宋" w:cs="仿宋" w:hint="eastAsia"/>
          <w:sz w:val="24"/>
          <w:szCs w:val="32"/>
        </w:rPr>
        <w:t>，增加</w:t>
      </w:r>
      <w:r>
        <w:rPr>
          <w:rFonts w:ascii="仿宋_GB2312" w:eastAsia="仿宋_GB2312" w:hAnsi="仿宋" w:cs="仿宋"/>
          <w:sz w:val="24"/>
          <w:szCs w:val="32"/>
        </w:rPr>
        <w:t>丰富度</w:t>
      </w:r>
      <w:r>
        <w:rPr>
          <w:rFonts w:ascii="仿宋_GB2312" w:eastAsia="仿宋_GB2312" w:hAnsi="仿宋" w:cs="仿宋" w:hint="eastAsia"/>
          <w:sz w:val="24"/>
          <w:szCs w:val="32"/>
        </w:rPr>
        <w:t>，引导建筑风貌与自然山水的协调与呼应，城市与自然景观和谐统一。</w:t>
      </w:r>
    </w:p>
    <w:p w14:paraId="2B2C6D0C"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塑造轮廓舒展、韵律起伏的城市天际线。结合永定河、凉水河等重要河道，打造错落有致</w:t>
      </w:r>
      <w:r>
        <w:rPr>
          <w:rFonts w:ascii="仿宋_GB2312" w:eastAsia="仿宋_GB2312" w:hAnsi="仿宋" w:cs="仿宋"/>
          <w:sz w:val="24"/>
          <w:szCs w:val="32"/>
        </w:rPr>
        <w:t>、富有韵律的</w:t>
      </w:r>
      <w:r>
        <w:rPr>
          <w:rFonts w:ascii="仿宋_GB2312" w:eastAsia="仿宋_GB2312" w:hAnsi="仿宋" w:cs="仿宋" w:hint="eastAsia"/>
          <w:sz w:val="24"/>
          <w:szCs w:val="32"/>
        </w:rPr>
        <w:t>天际轮廓，创造舒适宜人的公共空间，形成优美的天际线。</w:t>
      </w:r>
    </w:p>
    <w:p w14:paraId="62602B91"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sz w:val="24"/>
          <w:szCs w:val="32"/>
        </w:rPr>
        <w:t>构建看城望水、赏景顾史、视景生动的城市景观眺望系统。</w:t>
      </w:r>
      <w:r>
        <w:rPr>
          <w:rFonts w:ascii="仿宋_GB2312" w:eastAsia="仿宋_GB2312" w:hAnsi="仿宋" w:cs="仿宋" w:hint="eastAsia"/>
          <w:sz w:val="24"/>
          <w:szCs w:val="32"/>
        </w:rPr>
        <w:t>加强城市整体空间形态控制，让居民更好地看城市、看山水、看历史、看风景。</w:t>
      </w:r>
    </w:p>
    <w:p w14:paraId="1E743B16"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sz w:val="24"/>
          <w:szCs w:val="32"/>
        </w:rPr>
        <w:t>营造玉带青罗、古韵今晖的城市色彩形象。</w:t>
      </w:r>
      <w:r>
        <w:rPr>
          <w:rFonts w:ascii="仿宋_GB2312" w:eastAsia="仿宋_GB2312" w:hAnsi="仿宋" w:cs="仿宋" w:hint="eastAsia"/>
          <w:sz w:val="24"/>
          <w:szCs w:val="32"/>
        </w:rPr>
        <w:t>以暖黄、亮灰、砖红为基调色</w:t>
      </w:r>
      <w:r>
        <w:rPr>
          <w:rFonts w:ascii="仿宋_GB2312" w:eastAsia="仿宋_GB2312" w:hAnsi="仿宋" w:cs="仿宋"/>
          <w:sz w:val="24"/>
          <w:szCs w:val="32"/>
        </w:rPr>
        <w:t>,划定中轴展示区、品质生活区、古都风韵区、现代商务区、浅山风采区五类城市色彩分区。</w:t>
      </w:r>
    </w:p>
    <w:p w14:paraId="6C0B7390"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塑造曲直分明、显隐有序的城市第五立面。营造具有高度可识别性的城市第五立面，以西曲东直、城绿相映为丰台的基本空间肌理特征，塑造平坡结合、起伏多姿的城市第五立面景观。</w:t>
      </w:r>
      <w:r>
        <w:rPr>
          <w:rFonts w:ascii="仿宋_GB2312" w:eastAsia="仿宋_GB2312" w:hAnsi="仿宋" w:cs="仿宋"/>
          <w:sz w:val="24"/>
          <w:szCs w:val="32"/>
        </w:rPr>
        <w:t>划定控制区</w:t>
      </w:r>
      <w:r>
        <w:rPr>
          <w:rFonts w:ascii="仿宋_GB2312" w:eastAsia="仿宋_GB2312" w:hAnsi="仿宋" w:cs="仿宋" w:hint="eastAsia"/>
          <w:sz w:val="24"/>
          <w:szCs w:val="32"/>
        </w:rPr>
        <w:t>、</w:t>
      </w:r>
      <w:r>
        <w:rPr>
          <w:rFonts w:ascii="仿宋_GB2312" w:eastAsia="仿宋_GB2312" w:hAnsi="仿宋" w:cs="仿宋"/>
          <w:sz w:val="24"/>
          <w:szCs w:val="32"/>
        </w:rPr>
        <w:t>提升区</w:t>
      </w:r>
      <w:r>
        <w:rPr>
          <w:rFonts w:ascii="仿宋_GB2312" w:eastAsia="仿宋_GB2312" w:hAnsi="仿宋" w:cs="仿宋" w:hint="eastAsia"/>
          <w:sz w:val="24"/>
          <w:szCs w:val="32"/>
        </w:rPr>
        <w:t>、</w:t>
      </w:r>
      <w:r>
        <w:rPr>
          <w:rFonts w:ascii="仿宋_GB2312" w:eastAsia="仿宋_GB2312" w:hAnsi="仿宋" w:cs="仿宋"/>
          <w:sz w:val="24"/>
          <w:szCs w:val="32"/>
        </w:rPr>
        <w:t>协调区三类</w:t>
      </w:r>
      <w:r>
        <w:rPr>
          <w:rFonts w:ascii="仿宋_GB2312" w:eastAsia="仿宋_GB2312" w:hAnsi="仿宋" w:cs="仿宋" w:hint="eastAsia"/>
          <w:sz w:val="24"/>
          <w:szCs w:val="32"/>
        </w:rPr>
        <w:t>第五立面</w:t>
      </w:r>
      <w:r>
        <w:rPr>
          <w:rFonts w:ascii="仿宋_GB2312" w:eastAsia="仿宋_GB2312" w:hAnsi="仿宋" w:cs="仿宋"/>
          <w:sz w:val="24"/>
          <w:szCs w:val="32"/>
        </w:rPr>
        <w:t>分区</w:t>
      </w:r>
      <w:r>
        <w:rPr>
          <w:rFonts w:ascii="仿宋_GB2312" w:eastAsia="仿宋_GB2312" w:hAnsi="仿宋" w:cs="仿宋" w:hint="eastAsia"/>
          <w:sz w:val="24"/>
          <w:szCs w:val="32"/>
        </w:rPr>
        <w:t>。</w:t>
      </w:r>
    </w:p>
    <w:p w14:paraId="0E5D3A7A" w14:textId="77777777" w:rsidR="0027384A" w:rsidRDefault="00000000">
      <w:pPr>
        <w:pStyle w:val="1"/>
        <w:numPr>
          <w:ilvl w:val="0"/>
          <w:numId w:val="1"/>
        </w:numPr>
      </w:pPr>
      <w:r>
        <w:rPr>
          <w:rFonts w:hint="eastAsia"/>
        </w:rPr>
        <w:t>完善基础，建设人本城市</w:t>
      </w:r>
    </w:p>
    <w:p w14:paraId="299901CF"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坚持以问题为导向，以缓解交通拥堵、大气污染等“大城市病”为突破口，构建与丰台区战略定位相适应的城市基础设施体系，把丰台区建设成为生态宜居、健康安全、可持续发展的人本智慧城区。</w:t>
      </w:r>
    </w:p>
    <w:p w14:paraId="6DE73179"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lastRenderedPageBreak/>
        <w:t>建设便捷高效、绿色舒适的综合交通体系。打造北京市中心城西南地区立体快速交通网络，建立“高效、智能、绿色、舒适”的交通系统（图14）。</w:t>
      </w:r>
    </w:p>
    <w:p w14:paraId="5961CF8A" w14:textId="77777777" w:rsidR="0027384A" w:rsidRDefault="00000000">
      <w:pPr>
        <w:spacing w:line="360" w:lineRule="auto"/>
        <w:jc w:val="center"/>
        <w:rPr>
          <w:rFonts w:ascii="仿宋_GB2312" w:eastAsia="仿宋_GB2312" w:hAnsi="仿宋" w:cs="仿宋"/>
          <w:sz w:val="24"/>
          <w:szCs w:val="32"/>
        </w:rPr>
      </w:pPr>
      <w:r>
        <w:rPr>
          <w:rFonts w:ascii="仿宋_GB2312" w:eastAsia="仿宋_GB2312" w:hAnsi="仿宋" w:cs="仿宋"/>
          <w:noProof/>
          <w:sz w:val="24"/>
          <w:szCs w:val="32"/>
        </w:rPr>
        <w:drawing>
          <wp:inline distT="0" distB="0" distL="0" distR="0" wp14:anchorId="6DFBB6D1" wp14:editId="6CA1688F">
            <wp:extent cx="4589145" cy="2258060"/>
            <wp:effectExtent l="19050" t="0" r="1732" b="0"/>
            <wp:docPr id="1071" name="图片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图片 1071"/>
                    <pic:cNvPicPr>
                      <a:picLocks noChangeAspect="1"/>
                    </pic:cNvPicPr>
                  </pic:nvPicPr>
                  <pic:blipFill>
                    <a:blip r:embed="rId19" cstate="print">
                      <a:extLst>
                        <a:ext uri="{28A0092B-C50C-407E-A947-70E740481C1C}">
                          <a14:useLocalDpi xmlns:a14="http://schemas.microsoft.com/office/drawing/2010/main" val="0"/>
                        </a:ext>
                      </a:extLst>
                    </a:blip>
                    <a:srcRect l="5162" t="19084" r="5459" b="18702"/>
                    <a:stretch>
                      <a:fillRect/>
                    </a:stretch>
                  </pic:blipFill>
                  <pic:spPr>
                    <a:xfrm>
                      <a:off x="0" y="0"/>
                      <a:ext cx="4589318" cy="2258291"/>
                    </a:xfrm>
                    <a:prstGeom prst="rect">
                      <a:avLst/>
                    </a:prstGeom>
                  </pic:spPr>
                </pic:pic>
              </a:graphicData>
            </a:graphic>
          </wp:inline>
        </w:drawing>
      </w:r>
    </w:p>
    <w:p w14:paraId="1863C038" w14:textId="77777777" w:rsidR="0027384A" w:rsidRDefault="00000000">
      <w:pPr>
        <w:spacing w:line="360" w:lineRule="auto"/>
        <w:jc w:val="center"/>
        <w:rPr>
          <w:rFonts w:ascii="仿宋_GB2312" w:eastAsia="仿宋_GB2312" w:hAnsi="仿宋" w:cs="仿宋"/>
          <w:b/>
          <w:bCs/>
          <w:sz w:val="18"/>
          <w:szCs w:val="32"/>
        </w:rPr>
      </w:pPr>
      <w:r>
        <w:rPr>
          <w:rFonts w:ascii="仿宋_GB2312" w:eastAsia="仿宋_GB2312" w:hAnsi="仿宋" w:cs="仿宋" w:hint="eastAsia"/>
          <w:b/>
          <w:bCs/>
          <w:sz w:val="18"/>
          <w:szCs w:val="32"/>
        </w:rPr>
        <w:t>图14 道路网系统规划图</w:t>
      </w:r>
    </w:p>
    <w:p w14:paraId="45D1EB13"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建设系统完善、保障有力的市政基础设施体系。按照绿色环保、城乡一体、适度超前的基本原则，以系统完善、保障有力为总体目标，形成高标准、高水平、高效能的绿色市政基础设施</w:t>
      </w:r>
      <w:r>
        <w:rPr>
          <w:rFonts w:ascii="仿宋_GB2312" w:eastAsia="仿宋_GB2312" w:hAnsi="仿宋" w:cs="仿宋"/>
          <w:sz w:val="24"/>
          <w:szCs w:val="32"/>
        </w:rPr>
        <w:t>。</w:t>
      </w:r>
    </w:p>
    <w:p w14:paraId="213423BA"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坚持低碳发展原则，全面改善环境质量。发挥丰台区生态环境优势，以生态文明体制创新为动力</w:t>
      </w:r>
      <w:r>
        <w:rPr>
          <w:rFonts w:ascii="仿宋_GB2312" w:eastAsia="仿宋_GB2312" w:hAnsi="仿宋" w:cs="仿宋"/>
          <w:sz w:val="24"/>
          <w:szCs w:val="32"/>
        </w:rPr>
        <w:t>,全面优化丰台区环境空间格局，确保实现城市可持续发展。</w:t>
      </w:r>
    </w:p>
    <w:p w14:paraId="684B58A8"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加强智慧城市建设，提升城市保障水平。</w:t>
      </w:r>
      <w:r>
        <w:rPr>
          <w:rFonts w:ascii="仿宋_GB2312" w:eastAsia="仿宋_GB2312" w:hAnsi="仿宋" w:cs="仿宋"/>
          <w:sz w:val="24"/>
          <w:szCs w:val="32"/>
        </w:rPr>
        <w:t>构建</w:t>
      </w:r>
      <w:r>
        <w:rPr>
          <w:rFonts w:ascii="仿宋_GB2312" w:eastAsia="仿宋_GB2312" w:hAnsi="仿宋" w:cs="仿宋" w:hint="eastAsia"/>
          <w:sz w:val="24"/>
          <w:szCs w:val="32"/>
        </w:rPr>
        <w:t>与</w:t>
      </w:r>
      <w:r>
        <w:rPr>
          <w:rFonts w:ascii="仿宋_GB2312" w:eastAsia="仿宋_GB2312" w:hAnsi="仿宋" w:cs="仿宋"/>
          <w:sz w:val="24"/>
          <w:szCs w:val="32"/>
        </w:rPr>
        <w:t>城市融合的新型</w:t>
      </w:r>
      <w:r>
        <w:rPr>
          <w:rFonts w:ascii="仿宋_GB2312" w:eastAsia="仿宋_GB2312" w:hAnsi="仿宋" w:cs="仿宋" w:hint="eastAsia"/>
          <w:sz w:val="24"/>
          <w:szCs w:val="32"/>
        </w:rPr>
        <w:t>智慧</w:t>
      </w:r>
      <w:r>
        <w:rPr>
          <w:rFonts w:ascii="仿宋_GB2312" w:eastAsia="仿宋_GB2312" w:hAnsi="仿宋" w:cs="仿宋"/>
          <w:sz w:val="24"/>
          <w:szCs w:val="32"/>
        </w:rPr>
        <w:t>城市体系，建设一批智慧旗舰项目</w:t>
      </w:r>
      <w:r>
        <w:rPr>
          <w:rFonts w:ascii="仿宋_GB2312" w:eastAsia="仿宋_GB2312" w:hAnsi="仿宋" w:cs="仿宋" w:hint="eastAsia"/>
          <w:sz w:val="24"/>
          <w:szCs w:val="32"/>
        </w:rPr>
        <w:t>。</w:t>
      </w:r>
    </w:p>
    <w:p w14:paraId="2D9506D0"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促进地下空间资源综合开发利用，统筹建设综合管廊。坚持生态优先、先地下后地上、地上地下相协调、平战结合与</w:t>
      </w:r>
      <w:proofErr w:type="gramStart"/>
      <w:r>
        <w:rPr>
          <w:rFonts w:ascii="仿宋_GB2312" w:eastAsia="仿宋_GB2312" w:hAnsi="仿宋" w:cs="仿宋" w:hint="eastAsia"/>
          <w:sz w:val="24"/>
          <w:szCs w:val="32"/>
        </w:rPr>
        <w:t>平灾结合</w:t>
      </w:r>
      <w:proofErr w:type="gramEnd"/>
      <w:r>
        <w:rPr>
          <w:rFonts w:ascii="仿宋_GB2312" w:eastAsia="仿宋_GB2312" w:hAnsi="仿宋" w:cs="仿宋" w:hint="eastAsia"/>
          <w:sz w:val="24"/>
          <w:szCs w:val="32"/>
        </w:rPr>
        <w:t>并重的原则，构建丰台区高效、创新、复合、便捷、活力的城市地下空间系统。</w:t>
      </w:r>
    </w:p>
    <w:p w14:paraId="493334FA"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加强城市安全保障，构建综合韧性的城市安全体系。加强对军事设施和要害机关的保护工作，推动军民融合发展；加强人防设施规划建设，实现军民兼用；高度重视城市公共安全，建立健全消防、防洪、防涝、防震等城市综合防灾体系。</w:t>
      </w:r>
    </w:p>
    <w:p w14:paraId="4C842560" w14:textId="77777777" w:rsidR="0027384A" w:rsidRDefault="00000000">
      <w:pPr>
        <w:pStyle w:val="1"/>
        <w:numPr>
          <w:ilvl w:val="0"/>
          <w:numId w:val="1"/>
        </w:numPr>
      </w:pPr>
      <w:r>
        <w:rPr>
          <w:rFonts w:hint="eastAsia"/>
        </w:rPr>
        <w:t>健全机制，保障规划实施</w:t>
      </w:r>
    </w:p>
    <w:p w14:paraId="049AA374"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以钉钉子精神抓好规划组织实施，进一步完善丰台区“多规合一”和面向实施的国土空间规划体系，统筹控制性详细规划、特定地区规划、专项规划以及近期建设规划等各级各类规划，实现各</w:t>
      </w:r>
      <w:proofErr w:type="gramStart"/>
      <w:r>
        <w:rPr>
          <w:rFonts w:ascii="仿宋_GB2312" w:eastAsia="仿宋_GB2312" w:hAnsi="仿宋" w:cs="仿宋" w:hint="eastAsia"/>
          <w:sz w:val="24"/>
          <w:szCs w:val="32"/>
        </w:rPr>
        <w:t>类空间管控</w:t>
      </w:r>
      <w:proofErr w:type="gramEnd"/>
      <w:r>
        <w:rPr>
          <w:rFonts w:ascii="仿宋_GB2312" w:eastAsia="仿宋_GB2312" w:hAnsi="仿宋" w:cs="仿宋" w:hint="eastAsia"/>
          <w:sz w:val="24"/>
          <w:szCs w:val="32"/>
        </w:rPr>
        <w:t>要素精准落地，逐步形成国土空</w:t>
      </w:r>
      <w:r>
        <w:rPr>
          <w:rFonts w:ascii="仿宋_GB2312" w:eastAsia="仿宋_GB2312" w:hAnsi="仿宋" w:cs="仿宋" w:hint="eastAsia"/>
          <w:sz w:val="24"/>
          <w:szCs w:val="32"/>
        </w:rPr>
        <w:lastRenderedPageBreak/>
        <w:t>间规划“一张图”。健全全域</w:t>
      </w:r>
      <w:proofErr w:type="gramStart"/>
      <w:r>
        <w:rPr>
          <w:rFonts w:ascii="仿宋_GB2312" w:eastAsia="仿宋_GB2312" w:hAnsi="仿宋" w:cs="仿宋" w:hint="eastAsia"/>
          <w:sz w:val="24"/>
          <w:szCs w:val="32"/>
        </w:rPr>
        <w:t>全类型</w:t>
      </w:r>
      <w:proofErr w:type="gramEnd"/>
      <w:r>
        <w:rPr>
          <w:rFonts w:ascii="仿宋_GB2312" w:eastAsia="仿宋_GB2312" w:hAnsi="仿宋" w:cs="仿宋" w:hint="eastAsia"/>
          <w:sz w:val="24"/>
          <w:szCs w:val="32"/>
        </w:rPr>
        <w:t>国土空间管控机制，完善运行规则，制定配套政策和管理措施，提升规划统筹实施水平。</w:t>
      </w:r>
    </w:p>
    <w:p w14:paraId="3B7D48DF"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做好区级城市体检评估，健全国土空间规划动态监测评估预警和实施监管机制，加强规划实施的监督考评问责，坚决维护规划的严肃性和权威性，调动各方面参与和监督规划实施的积极性、主动性和创造性，实现共商共建共治共享的新格局。</w:t>
      </w:r>
    </w:p>
    <w:p w14:paraId="50616189" w14:textId="77777777" w:rsidR="0027384A" w:rsidRDefault="00000000">
      <w:pPr>
        <w:spacing w:line="360" w:lineRule="auto"/>
        <w:ind w:firstLineChars="200" w:firstLine="480"/>
        <w:jc w:val="left"/>
        <w:rPr>
          <w:rFonts w:ascii="仿宋_GB2312" w:eastAsia="仿宋_GB2312" w:hAnsi="仿宋" w:cs="仿宋"/>
          <w:sz w:val="24"/>
          <w:szCs w:val="32"/>
        </w:rPr>
      </w:pPr>
      <w:r>
        <w:rPr>
          <w:rFonts w:ascii="仿宋_GB2312" w:eastAsia="仿宋_GB2312" w:hAnsi="仿宋" w:cs="仿宋" w:hint="eastAsia"/>
          <w:sz w:val="24"/>
          <w:szCs w:val="32"/>
        </w:rPr>
        <w:t>丰台分区规划为丰台区国土空间发展和可持续发展提供了指引，下一步需全区形成合力，坚持一张蓝图绘到底，让“妙笔生花看丰台”的</w:t>
      </w:r>
      <w:proofErr w:type="gramStart"/>
      <w:r>
        <w:rPr>
          <w:rFonts w:ascii="仿宋_GB2312" w:eastAsia="仿宋_GB2312" w:hAnsi="仿宋" w:cs="仿宋" w:hint="eastAsia"/>
          <w:sz w:val="24"/>
          <w:szCs w:val="32"/>
        </w:rPr>
        <w:t>愿景成为</w:t>
      </w:r>
      <w:proofErr w:type="gramEnd"/>
      <w:r>
        <w:rPr>
          <w:rFonts w:ascii="仿宋_GB2312" w:eastAsia="仿宋_GB2312" w:hAnsi="仿宋" w:cs="仿宋" w:hint="eastAsia"/>
          <w:sz w:val="24"/>
          <w:szCs w:val="32"/>
        </w:rPr>
        <w:t>现实。</w:t>
      </w:r>
    </w:p>
    <w:p w14:paraId="42E7AC65" w14:textId="77777777" w:rsidR="0027384A" w:rsidRDefault="0027384A">
      <w:pPr>
        <w:spacing w:line="360" w:lineRule="auto"/>
        <w:ind w:firstLineChars="200" w:firstLine="480"/>
        <w:jc w:val="left"/>
        <w:rPr>
          <w:rFonts w:ascii="仿宋_GB2312" w:eastAsia="仿宋_GB2312" w:hAnsi="仿宋" w:cs="仿宋"/>
          <w:sz w:val="24"/>
          <w:szCs w:val="32"/>
        </w:rPr>
      </w:pPr>
    </w:p>
    <w:p w14:paraId="4CCD808C" w14:textId="77777777" w:rsidR="0027384A" w:rsidRDefault="0027384A"/>
    <w:sectPr w:rsidR="002738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A62EE"/>
    <w:multiLevelType w:val="multilevel"/>
    <w:tmpl w:val="518A62EE"/>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30913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TEwZmZjOTc5NTQ5YTFkN2NhZTc2MzE3OWJhYjZhMTYifQ=="/>
    <w:docVar w:name="KSO_WPS_MARK_KEY" w:val="d56d2fc2-2d1c-405a-b51d-a8acd639b65e"/>
  </w:docVars>
  <w:rsids>
    <w:rsidRoot w:val="006235C2"/>
    <w:rsid w:val="00003FC7"/>
    <w:rsid w:val="000055C9"/>
    <w:rsid w:val="000427A5"/>
    <w:rsid w:val="000705C1"/>
    <w:rsid w:val="000920F4"/>
    <w:rsid w:val="000923C0"/>
    <w:rsid w:val="00094EA7"/>
    <w:rsid w:val="000A4396"/>
    <w:rsid w:val="000A78D5"/>
    <w:rsid w:val="000B232E"/>
    <w:rsid w:val="000B7B60"/>
    <w:rsid w:val="000B7EF6"/>
    <w:rsid w:val="000C58AA"/>
    <w:rsid w:val="000D24C4"/>
    <w:rsid w:val="000E069B"/>
    <w:rsid w:val="00103E09"/>
    <w:rsid w:val="001117C9"/>
    <w:rsid w:val="001212C3"/>
    <w:rsid w:val="001335A5"/>
    <w:rsid w:val="00133947"/>
    <w:rsid w:val="001401E7"/>
    <w:rsid w:val="001417A8"/>
    <w:rsid w:val="00161C4C"/>
    <w:rsid w:val="00163CFE"/>
    <w:rsid w:val="001738A6"/>
    <w:rsid w:val="00183BB3"/>
    <w:rsid w:val="00186E60"/>
    <w:rsid w:val="001920FA"/>
    <w:rsid w:val="001A34F5"/>
    <w:rsid w:val="001A4EF9"/>
    <w:rsid w:val="001A60FD"/>
    <w:rsid w:val="001B6399"/>
    <w:rsid w:val="001D4B6E"/>
    <w:rsid w:val="001F74CC"/>
    <w:rsid w:val="0021691B"/>
    <w:rsid w:val="00225B1A"/>
    <w:rsid w:val="0025198D"/>
    <w:rsid w:val="0027384A"/>
    <w:rsid w:val="00284CB9"/>
    <w:rsid w:val="002902EE"/>
    <w:rsid w:val="002A1C74"/>
    <w:rsid w:val="002B3651"/>
    <w:rsid w:val="002C7323"/>
    <w:rsid w:val="002D0C20"/>
    <w:rsid w:val="002F2372"/>
    <w:rsid w:val="00303689"/>
    <w:rsid w:val="00303D8F"/>
    <w:rsid w:val="003074FF"/>
    <w:rsid w:val="003205DA"/>
    <w:rsid w:val="0033624A"/>
    <w:rsid w:val="00352563"/>
    <w:rsid w:val="003635E1"/>
    <w:rsid w:val="00392F57"/>
    <w:rsid w:val="003D4FE9"/>
    <w:rsid w:val="003E3242"/>
    <w:rsid w:val="003E4A9C"/>
    <w:rsid w:val="00417518"/>
    <w:rsid w:val="00440E96"/>
    <w:rsid w:val="0044400E"/>
    <w:rsid w:val="004440B4"/>
    <w:rsid w:val="0044547C"/>
    <w:rsid w:val="00454618"/>
    <w:rsid w:val="00471AED"/>
    <w:rsid w:val="00485973"/>
    <w:rsid w:val="00486F1D"/>
    <w:rsid w:val="004A29CC"/>
    <w:rsid w:val="00527F47"/>
    <w:rsid w:val="00553672"/>
    <w:rsid w:val="005627DA"/>
    <w:rsid w:val="00573D5A"/>
    <w:rsid w:val="00574732"/>
    <w:rsid w:val="0058407B"/>
    <w:rsid w:val="005A4B0B"/>
    <w:rsid w:val="005A676A"/>
    <w:rsid w:val="005C100B"/>
    <w:rsid w:val="005C1257"/>
    <w:rsid w:val="005C6490"/>
    <w:rsid w:val="005D17B4"/>
    <w:rsid w:val="005E26ED"/>
    <w:rsid w:val="00600633"/>
    <w:rsid w:val="006025AC"/>
    <w:rsid w:val="00612C79"/>
    <w:rsid w:val="006235C2"/>
    <w:rsid w:val="00660996"/>
    <w:rsid w:val="00683C4C"/>
    <w:rsid w:val="00691A28"/>
    <w:rsid w:val="006A28BC"/>
    <w:rsid w:val="006A2B47"/>
    <w:rsid w:val="006A7B9F"/>
    <w:rsid w:val="006B4D58"/>
    <w:rsid w:val="006C25A1"/>
    <w:rsid w:val="006E5BD3"/>
    <w:rsid w:val="006F4E40"/>
    <w:rsid w:val="00727DEF"/>
    <w:rsid w:val="00737A45"/>
    <w:rsid w:val="00737C86"/>
    <w:rsid w:val="00782537"/>
    <w:rsid w:val="00796482"/>
    <w:rsid w:val="007B558F"/>
    <w:rsid w:val="007B6D5E"/>
    <w:rsid w:val="007D5BA2"/>
    <w:rsid w:val="007F003A"/>
    <w:rsid w:val="007F05C1"/>
    <w:rsid w:val="00805BF2"/>
    <w:rsid w:val="00812809"/>
    <w:rsid w:val="00825997"/>
    <w:rsid w:val="00836D71"/>
    <w:rsid w:val="0085725B"/>
    <w:rsid w:val="0088195F"/>
    <w:rsid w:val="00883170"/>
    <w:rsid w:val="00897FFD"/>
    <w:rsid w:val="008A585F"/>
    <w:rsid w:val="008C177F"/>
    <w:rsid w:val="008C7FBF"/>
    <w:rsid w:val="008D547D"/>
    <w:rsid w:val="009024D8"/>
    <w:rsid w:val="00912829"/>
    <w:rsid w:val="00916ECE"/>
    <w:rsid w:val="00956113"/>
    <w:rsid w:val="00957D18"/>
    <w:rsid w:val="0097496E"/>
    <w:rsid w:val="0097571B"/>
    <w:rsid w:val="00975B30"/>
    <w:rsid w:val="00976FD5"/>
    <w:rsid w:val="009B0EFF"/>
    <w:rsid w:val="009B2454"/>
    <w:rsid w:val="009B5BF3"/>
    <w:rsid w:val="009B7958"/>
    <w:rsid w:val="009D2C9F"/>
    <w:rsid w:val="009E02B0"/>
    <w:rsid w:val="00A066EB"/>
    <w:rsid w:val="00A16F3F"/>
    <w:rsid w:val="00A313B8"/>
    <w:rsid w:val="00A3276C"/>
    <w:rsid w:val="00A3505D"/>
    <w:rsid w:val="00A50374"/>
    <w:rsid w:val="00A54E08"/>
    <w:rsid w:val="00A747B4"/>
    <w:rsid w:val="00A77B07"/>
    <w:rsid w:val="00A87638"/>
    <w:rsid w:val="00AB05EC"/>
    <w:rsid w:val="00AD26AF"/>
    <w:rsid w:val="00AE7E6D"/>
    <w:rsid w:val="00B15C55"/>
    <w:rsid w:val="00B21550"/>
    <w:rsid w:val="00B35045"/>
    <w:rsid w:val="00B41868"/>
    <w:rsid w:val="00B473C3"/>
    <w:rsid w:val="00B54F3D"/>
    <w:rsid w:val="00B8790D"/>
    <w:rsid w:val="00B94DE2"/>
    <w:rsid w:val="00BA1F80"/>
    <w:rsid w:val="00BA67CE"/>
    <w:rsid w:val="00BA758D"/>
    <w:rsid w:val="00BC4E5A"/>
    <w:rsid w:val="00BD3C93"/>
    <w:rsid w:val="00BF0DDA"/>
    <w:rsid w:val="00BF3729"/>
    <w:rsid w:val="00C00346"/>
    <w:rsid w:val="00C1349D"/>
    <w:rsid w:val="00C17634"/>
    <w:rsid w:val="00C47C39"/>
    <w:rsid w:val="00C5501B"/>
    <w:rsid w:val="00C71129"/>
    <w:rsid w:val="00C7613C"/>
    <w:rsid w:val="00C871ED"/>
    <w:rsid w:val="00C93B4F"/>
    <w:rsid w:val="00CB3546"/>
    <w:rsid w:val="00CF2D51"/>
    <w:rsid w:val="00D0271E"/>
    <w:rsid w:val="00D14864"/>
    <w:rsid w:val="00D40E51"/>
    <w:rsid w:val="00D641B5"/>
    <w:rsid w:val="00D6560C"/>
    <w:rsid w:val="00D672F4"/>
    <w:rsid w:val="00D70607"/>
    <w:rsid w:val="00D749B3"/>
    <w:rsid w:val="00D95064"/>
    <w:rsid w:val="00DB3A30"/>
    <w:rsid w:val="00DC139E"/>
    <w:rsid w:val="00DE1AF9"/>
    <w:rsid w:val="00DE26C8"/>
    <w:rsid w:val="00DE52B5"/>
    <w:rsid w:val="00DF2A5A"/>
    <w:rsid w:val="00DF3785"/>
    <w:rsid w:val="00DF7587"/>
    <w:rsid w:val="00E01024"/>
    <w:rsid w:val="00E3705B"/>
    <w:rsid w:val="00E62D44"/>
    <w:rsid w:val="00E67F86"/>
    <w:rsid w:val="00E92CE8"/>
    <w:rsid w:val="00E94689"/>
    <w:rsid w:val="00E97C0B"/>
    <w:rsid w:val="00EA5640"/>
    <w:rsid w:val="00EB2175"/>
    <w:rsid w:val="00EC581C"/>
    <w:rsid w:val="00EE395E"/>
    <w:rsid w:val="00F36F31"/>
    <w:rsid w:val="00F434E4"/>
    <w:rsid w:val="00F47E70"/>
    <w:rsid w:val="00F6709C"/>
    <w:rsid w:val="00F67287"/>
    <w:rsid w:val="00F72F2B"/>
    <w:rsid w:val="00F76647"/>
    <w:rsid w:val="00F838FD"/>
    <w:rsid w:val="00F87970"/>
    <w:rsid w:val="00FA5024"/>
    <w:rsid w:val="00FB1882"/>
    <w:rsid w:val="00FC7A49"/>
    <w:rsid w:val="00FF0553"/>
    <w:rsid w:val="00FF1F8E"/>
    <w:rsid w:val="018937BF"/>
    <w:rsid w:val="06265B1F"/>
    <w:rsid w:val="06B865FB"/>
    <w:rsid w:val="07356B59"/>
    <w:rsid w:val="128720A6"/>
    <w:rsid w:val="149107A3"/>
    <w:rsid w:val="187E7287"/>
    <w:rsid w:val="1B300596"/>
    <w:rsid w:val="24485042"/>
    <w:rsid w:val="260E07F3"/>
    <w:rsid w:val="274D2574"/>
    <w:rsid w:val="2E1070D3"/>
    <w:rsid w:val="31F32D6F"/>
    <w:rsid w:val="33567609"/>
    <w:rsid w:val="35B65ED5"/>
    <w:rsid w:val="3EAF1AD8"/>
    <w:rsid w:val="3FFE5804"/>
    <w:rsid w:val="4158064B"/>
    <w:rsid w:val="42D32F6F"/>
    <w:rsid w:val="4AB6128F"/>
    <w:rsid w:val="4EBB5A8C"/>
    <w:rsid w:val="55B77EF2"/>
    <w:rsid w:val="620F2405"/>
    <w:rsid w:val="6BBF500A"/>
    <w:rsid w:val="71BF2793"/>
    <w:rsid w:val="7C74004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4590E"/>
  <w15:docId w15:val="{A441A204-9523-492F-A44F-E8C14D0A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240" w:after="240" w:line="480" w:lineRule="auto"/>
      <w:jc w:val="left"/>
      <w:outlineLvl w:val="0"/>
    </w:pPr>
    <w:rPr>
      <w:rFonts w:eastAsia="微软雅黑"/>
      <w:b/>
      <w:bCs/>
      <w:kern w:val="44"/>
      <w:sz w:val="28"/>
      <w:szCs w:val="44"/>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napToGrid w:val="0"/>
      <w:ind w:firstLineChars="200" w:firstLine="200"/>
    </w:pPr>
    <w:rPr>
      <w:rFonts w:ascii="仿宋" w:eastAsia="仿宋" w:hAnsi="仿宋" w:cs="仿宋"/>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Pr>
      <w:b/>
      <w:bCs/>
    </w:rPr>
  </w:style>
  <w:style w:type="character" w:styleId="ab">
    <w:name w:val="Emphasis"/>
    <w:basedOn w:val="a0"/>
    <w:uiPriority w:val="20"/>
    <w:qFormat/>
    <w:rPr>
      <w:i/>
      <w:iCs/>
    </w:rPr>
  </w:style>
  <w:style w:type="character" w:styleId="ac">
    <w:name w:val="Hyperlink"/>
    <w:basedOn w:val="a0"/>
    <w:uiPriority w:val="99"/>
    <w:semiHidden/>
    <w:unhideWhenUsed/>
    <w:qFormat/>
    <w:rPr>
      <w:color w:val="0000FF"/>
      <w:u w:val="single"/>
    </w:rPr>
  </w:style>
  <w:style w:type="character" w:customStyle="1" w:styleId="20">
    <w:name w:val="标题 2 字符"/>
    <w:basedOn w:val="a0"/>
    <w:link w:val="2"/>
    <w:uiPriority w:val="9"/>
    <w:qFormat/>
    <w:rPr>
      <w:rFonts w:ascii="宋体" w:eastAsia="宋体" w:hAnsi="宋体" w:cs="宋体"/>
      <w:b/>
      <w:bCs/>
      <w:kern w:val="0"/>
      <w:sz w:val="36"/>
      <w:szCs w:val="36"/>
    </w:rPr>
  </w:style>
  <w:style w:type="character" w:customStyle="1" w:styleId="richmediameta">
    <w:name w:val="rich_media_meta"/>
    <w:basedOn w:val="a0"/>
    <w:qFormat/>
  </w:style>
  <w:style w:type="character" w:customStyle="1" w:styleId="apple-converted-space">
    <w:name w:val="apple-converted-space"/>
    <w:basedOn w:val="a0"/>
    <w:qFormat/>
  </w:style>
  <w:style w:type="character" w:customStyle="1" w:styleId="mediatoolmeta">
    <w:name w:val="media_tool_meta"/>
    <w:basedOn w:val="a0"/>
    <w:qFormat/>
  </w:style>
  <w:style w:type="character" w:customStyle="1" w:styleId="likenum">
    <w:name w:val="like_num"/>
    <w:basedOn w:val="a0"/>
    <w:qFormat/>
  </w:style>
  <w:style w:type="paragraph" w:styleId="ad">
    <w:name w:val="List Paragraph"/>
    <w:basedOn w:val="a"/>
    <w:uiPriority w:val="34"/>
    <w:qFormat/>
    <w:pPr>
      <w:ind w:firstLineChars="200" w:firstLine="420"/>
    </w:pPr>
  </w:style>
  <w:style w:type="character" w:customStyle="1" w:styleId="30">
    <w:name w:val="标题 3 字符"/>
    <w:basedOn w:val="a0"/>
    <w:link w:val="3"/>
    <w:uiPriority w:val="9"/>
    <w:semiHidden/>
    <w:qFormat/>
    <w:rPr>
      <w:b/>
      <w:bCs/>
      <w:sz w:val="32"/>
      <w:szCs w:val="32"/>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ae">
    <w:name w:val="正文段落"/>
    <w:basedOn w:val="a"/>
    <w:link w:val="Char"/>
    <w:qFormat/>
    <w:pPr>
      <w:snapToGrid w:val="0"/>
      <w:spacing w:line="300" w:lineRule="auto"/>
      <w:ind w:firstLineChars="200" w:firstLine="640"/>
    </w:pPr>
    <w:rPr>
      <w:rFonts w:ascii="仿宋" w:eastAsia="仿宋" w:hAnsi="仿宋" w:cs="仿宋"/>
      <w:sz w:val="32"/>
      <w:szCs w:val="32"/>
    </w:rPr>
  </w:style>
  <w:style w:type="character" w:customStyle="1" w:styleId="Char">
    <w:name w:val="正文段落 Char"/>
    <w:basedOn w:val="a0"/>
    <w:link w:val="ae"/>
    <w:qFormat/>
    <w:rPr>
      <w:rFonts w:ascii="仿宋" w:eastAsia="仿宋" w:hAnsi="仿宋" w:cs="仿宋"/>
      <w:sz w:val="32"/>
      <w:szCs w:val="32"/>
    </w:rPr>
  </w:style>
  <w:style w:type="character" w:customStyle="1" w:styleId="a4">
    <w:name w:val="批注框文本 字符"/>
    <w:basedOn w:val="a0"/>
    <w:link w:val="a3"/>
    <w:uiPriority w:val="99"/>
    <w:semiHidden/>
    <w:qFormat/>
    <w:rPr>
      <w:rFonts w:ascii="仿宋" w:eastAsia="仿宋" w:hAnsi="仿宋" w:cs="仿宋"/>
      <w:sz w:val="18"/>
      <w:szCs w:val="18"/>
    </w:rPr>
  </w:style>
  <w:style w:type="character" w:customStyle="1" w:styleId="10">
    <w:name w:val="标题 1 字符"/>
    <w:basedOn w:val="a0"/>
    <w:link w:val="1"/>
    <w:uiPriority w:val="9"/>
    <w:qFormat/>
    <w:rPr>
      <w:rFonts w:eastAsia="微软雅黑"/>
      <w:b/>
      <w:bCs/>
      <w:kern w:val="44"/>
      <w:sz w:val="28"/>
      <w:szCs w:val="44"/>
    </w:rPr>
  </w:style>
  <w:style w:type="paragraph" w:customStyle="1" w:styleId="11">
    <w:name w:val="修订1"/>
    <w:hidden/>
    <w:uiPriority w:val="99"/>
    <w:unhideWhenUsed/>
    <w:rPr>
      <w:kern w:val="2"/>
      <w:sz w:val="21"/>
      <w:szCs w:val="22"/>
    </w:rPr>
  </w:style>
  <w:style w:type="paragraph" w:styleId="af">
    <w:name w:val="Revision"/>
    <w:hidden/>
    <w:uiPriority w:val="99"/>
    <w:unhideWhenUsed/>
    <w:rsid w:val="0055367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80D0B2-B952-4BFE-AB7D-6D68FA310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863</Words>
  <Characters>4925</Characters>
  <Application>Microsoft Office Word</Application>
  <DocSecurity>0</DocSecurity>
  <Lines>41</Lines>
  <Paragraphs>11</Paragraphs>
  <ScaleCrop>false</ScaleCrop>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gaoji</dc:creator>
  <cp:lastModifiedBy>Z God</cp:lastModifiedBy>
  <cp:revision>4</cp:revision>
  <cp:lastPrinted>2019-12-02T04:32:00Z</cp:lastPrinted>
  <dcterms:created xsi:type="dcterms:W3CDTF">2019-12-03T10:14:00Z</dcterms:created>
  <dcterms:modified xsi:type="dcterms:W3CDTF">2024-11-01T09:13:00Z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75AE81A507034C328D3184BF6649E2AE</vt:lpwstr>
  </property>
</Properties>
</file>