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黑体" w:cs="Times New Roman"/>
          <w:kern w:val="44"/>
          <w:sz w:val="32"/>
          <w:szCs w:val="24"/>
          <w:highlight w:val="none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kern w:val="44"/>
          <w:sz w:val="32"/>
          <w:szCs w:val="24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黑体" w:cs="Times New Roman"/>
          <w:kern w:val="44"/>
          <w:sz w:val="32"/>
          <w:szCs w:val="24"/>
          <w:highlight w:val="none"/>
          <w:lang w:val="en-US" w:eastAsia="zh-CN" w:bidi="ar-SA"/>
        </w:rPr>
        <w:t>鼓励商业运营主体打造消费集聚区奖励申报说明</w:t>
      </w:r>
    </w:p>
    <w:bookmarkEnd w:id="0"/>
    <w:p>
      <w:pPr>
        <w:keepNext/>
        <w:keepLines/>
        <w:widowControl w:val="0"/>
        <w:bidi w:val="0"/>
        <w:spacing w:beforeLines="0" w:beforeAutospacing="0" w:afterLines="0" w:afterAutospacing="0" w:line="560" w:lineRule="exact"/>
        <w:ind w:firstLine="643" w:firstLineChars="200"/>
        <w:jc w:val="both"/>
        <w:outlineLvl w:val="2"/>
        <w:rPr>
          <w:rFonts w:hint="eastAsia" w:ascii="仿宋_GB2312" w:hAnsi="仿宋_GB2312" w:eastAsia="仿宋_GB2312" w:cs="Times New Roman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/>
          <w:kern w:val="2"/>
          <w:sz w:val="32"/>
          <w:szCs w:val="24"/>
          <w:lang w:val="en-US" w:eastAsia="zh-CN" w:bidi="ar-SA"/>
        </w:rPr>
        <w:t>申报对象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lang w:val="en-US" w:eastAsia="zh-CN"/>
        </w:rPr>
        <w:t>丰台区辖区内的商圈、商场、步行街运营主体。</w:t>
      </w:r>
    </w:p>
    <w:p>
      <w:pPr>
        <w:keepNext/>
        <w:keepLines/>
        <w:widowControl w:val="0"/>
        <w:bidi w:val="0"/>
        <w:spacing w:beforeLines="0" w:beforeAutospacing="0" w:afterLines="0" w:afterAutospacing="0" w:line="560" w:lineRule="exact"/>
        <w:ind w:firstLine="643" w:firstLineChars="200"/>
        <w:jc w:val="both"/>
        <w:outlineLvl w:val="2"/>
        <w:rPr>
          <w:rFonts w:hint="eastAsia" w:ascii="仿宋_GB2312" w:hAnsi="仿宋_GB2312" w:eastAsia="仿宋_GB2312" w:cs="Times New Roman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/>
          <w:kern w:val="2"/>
          <w:sz w:val="32"/>
          <w:szCs w:val="24"/>
          <w:lang w:val="en-US" w:eastAsia="zh-CN" w:bidi="ar-SA"/>
        </w:rPr>
        <w:t>申报条件</w:t>
      </w:r>
    </w:p>
    <w:p>
      <w:pPr>
        <w:keepNext/>
        <w:keepLines/>
        <w:widowControl w:val="0"/>
        <w:bidi w:val="0"/>
        <w:spacing w:beforeLines="0" w:beforeAutospacing="0" w:afterLines="0" w:afterAutospacing="0" w:line="560" w:lineRule="exact"/>
        <w:ind w:firstLine="640" w:firstLineChars="200"/>
        <w:jc w:val="both"/>
        <w:outlineLvl w:val="2"/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支持商圈、商场、步行街打造消费集聚区，每推动1家零售商户年营业收入首次达500万元或餐饮商户年营业收入首次达200万元，给予运营主体一次性2万元支持，单个主体最高支持100万元。</w:t>
      </w:r>
    </w:p>
    <w:p>
      <w:pPr>
        <w:keepNext/>
        <w:keepLines/>
        <w:widowControl w:val="0"/>
        <w:bidi w:val="0"/>
        <w:spacing w:beforeLines="0" w:beforeAutospacing="0" w:afterLines="0" w:afterAutospacing="0" w:line="560" w:lineRule="exact"/>
        <w:ind w:firstLine="643" w:firstLineChars="200"/>
        <w:jc w:val="both"/>
        <w:outlineLvl w:val="2"/>
        <w:rPr>
          <w:rFonts w:hint="eastAsia" w:ascii="仿宋_GB2312" w:hAnsi="仿宋_GB2312" w:eastAsia="仿宋_GB2312" w:cs="Times New Roman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/>
          <w:kern w:val="2"/>
          <w:sz w:val="32"/>
          <w:szCs w:val="24"/>
          <w:lang w:val="en-US" w:eastAsia="zh-CN" w:bidi="ar-SA"/>
        </w:rPr>
        <w:t>申报材料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1.鼓励商业运营主体打造消费集聚区申报表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2.申报单位承诺书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3.</w:t>
      </w:r>
      <w:r>
        <w:rPr>
          <w:rFonts w:hint="eastAsia" w:ascii="仿宋_GB2312" w:hAnsi="仿宋_GB2312" w:eastAsia="仿宋_GB2312" w:cs="Times New Roman"/>
          <w:color w:val="auto"/>
          <w:sz w:val="32"/>
        </w:rPr>
        <w:t>项目单位证明文件复印件</w:t>
      </w:r>
    </w:p>
    <w:p>
      <w:pPr>
        <w:suppressAutoHyphens/>
        <w:bidi w:val="0"/>
        <w:spacing w:line="240" w:lineRule="auto"/>
        <w:ind w:firstLine="640" w:firstLineChars="200"/>
        <w:rPr>
          <w:ins w:id="0" w:author="Administrator" w:date="2026-03-19T15:53:00Z"/>
          <w:rFonts w:hint="eastAsia" w:ascii="仿宋_GB2312" w:hAnsi="仿宋_GB2312" w:eastAsia="仿宋_GB2312" w:cs="Times New Roman"/>
          <w:color w:val="auto"/>
          <w:sz w:val="32"/>
        </w:rPr>
      </w:pPr>
      <w:r>
        <w:rPr>
          <w:rFonts w:hint="eastAsia" w:ascii="仿宋_GB2312" w:hAnsi="仿宋_GB2312" w:eastAsia="仿宋_GB2312" w:cs="Times New Roman"/>
          <w:color w:val="auto"/>
          <w:sz w:val="32"/>
          <w:lang w:val="en-US" w:eastAsia="zh-CN"/>
        </w:rPr>
        <w:t>4.</w:t>
      </w:r>
      <w:r>
        <w:rPr>
          <w:rFonts w:hint="eastAsia" w:ascii="仿宋_GB2312" w:hAnsi="仿宋_GB2312" w:eastAsia="仿宋_GB2312" w:cs="Times New Roman"/>
          <w:color w:val="auto"/>
          <w:sz w:val="32"/>
        </w:rPr>
        <w:t>企业近2年完税凭证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</w:rPr>
      </w:pPr>
      <w:r>
        <w:rPr>
          <w:rFonts w:hint="eastAsia" w:ascii="仿宋_GB2312" w:hAnsi="仿宋_GB2312" w:eastAsia="仿宋_GB2312" w:cs="Times New Roman"/>
          <w:color w:val="auto"/>
          <w:sz w:val="32"/>
          <w:lang w:val="en-US" w:eastAsia="zh-CN"/>
        </w:rPr>
        <w:t>5.</w:t>
      </w:r>
      <w:r>
        <w:rPr>
          <w:rFonts w:hint="eastAsia" w:ascii="仿宋_GB2312" w:hAnsi="仿宋_GB2312" w:eastAsia="仿宋_GB2312" w:cs="Times New Roman"/>
          <w:color w:val="auto"/>
          <w:sz w:val="32"/>
        </w:rPr>
        <w:t>企业信用报告</w:t>
      </w:r>
    </w:p>
    <w:p>
      <w:pPr>
        <w:suppressAutoHyphens/>
        <w:bidi w:val="0"/>
        <w:spacing w:line="560" w:lineRule="exact"/>
        <w:ind w:firstLine="640" w:firstLineChars="200"/>
        <w:rPr>
          <w:rFonts w:hint="default" w:ascii="仿宋_GB2312" w:hAnsi="仿宋_GB2312" w:eastAsia="仿宋_GB2312" w:cs="Times New Roman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商业运营主体与</w:t>
      </w:r>
      <w:r>
        <w:rPr>
          <w:rFonts w:hint="eastAsia" w:ascii="仿宋_GB2312" w:hAnsi="仿宋_GB2312" w:eastAsia="仿宋_GB2312" w:cs="Times New Roman"/>
          <w:color w:val="auto"/>
          <w:sz w:val="32"/>
          <w:lang w:val="en-US" w:eastAsia="zh-CN"/>
        </w:rPr>
        <w:t>商户签订的租赁合同。</w:t>
      </w:r>
    </w:p>
    <w:p>
      <w:pPr>
        <w:keepNext/>
        <w:keepLines/>
        <w:widowControl w:val="0"/>
        <w:bidi w:val="0"/>
        <w:spacing w:beforeLines="0" w:beforeAutospacing="0" w:afterLines="0" w:afterAutospacing="0" w:line="560" w:lineRule="exact"/>
        <w:ind w:firstLine="643" w:firstLineChars="200"/>
        <w:jc w:val="both"/>
        <w:outlineLvl w:val="2"/>
        <w:rPr>
          <w:rFonts w:hint="default" w:ascii="仿宋_GB2312" w:hAnsi="仿宋_GB2312" w:eastAsia="仿宋_GB2312" w:cs="Times New Roman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/>
          <w:kern w:val="2"/>
          <w:sz w:val="32"/>
          <w:szCs w:val="24"/>
          <w:lang w:val="en-US" w:eastAsia="zh-CN" w:bidi="ar-SA"/>
        </w:rPr>
        <w:t>受理科室和咨询电话：流通发展科 63837580、63833970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lang w:val="en-US" w:eastAsia="zh-CN"/>
        </w:rPr>
      </w:pPr>
    </w:p>
    <w:p>
      <w:pPr>
        <w:suppressAutoHyphens/>
        <w:bidi w:val="0"/>
        <w:spacing w:line="560" w:lineRule="exact"/>
        <w:rPr>
          <w:rFonts w:hint="eastAsia" w:ascii="黑体" w:hAnsi="黑体" w:eastAsia="黑体" w:cs="黑体"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sz w:val="32"/>
          <w:lang w:val="en-US" w:eastAsia="zh-CN"/>
        </w:rPr>
        <w:br w:type="page"/>
      </w: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 w:bidi="ar-SA"/>
        </w:rPr>
        <w:t>附件1：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鼓励商业运营主体打造消费集聚区申报表</w:t>
      </w:r>
    </w:p>
    <w:tbl>
      <w:tblPr>
        <w:tblStyle w:val="3"/>
        <w:tblW w:w="997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2"/>
        <w:gridCol w:w="1341"/>
        <w:gridCol w:w="782"/>
        <w:gridCol w:w="1234"/>
        <w:gridCol w:w="2324"/>
        <w:gridCol w:w="826"/>
        <w:gridCol w:w="354"/>
        <w:gridCol w:w="19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>基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>本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>况</w:t>
            </w:r>
          </w:p>
        </w:tc>
        <w:tc>
          <w:tcPr>
            <w:tcW w:w="2135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申报单位名称</w:t>
            </w:r>
          </w:p>
        </w:tc>
        <w:tc>
          <w:tcPr>
            <w:tcW w:w="6674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  <w:tc>
          <w:tcPr>
            <w:tcW w:w="213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法定代表人</w:t>
            </w:r>
          </w:p>
        </w:tc>
        <w:tc>
          <w:tcPr>
            <w:tcW w:w="123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  <w:tc>
          <w:tcPr>
            <w:tcW w:w="31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18"/>
              </w:rPr>
              <w:t>统一社会信用代码</w:t>
            </w:r>
          </w:p>
        </w:tc>
        <w:tc>
          <w:tcPr>
            <w:tcW w:w="22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  <w:tc>
          <w:tcPr>
            <w:tcW w:w="2135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>联系人</w:t>
            </w:r>
          </w:p>
        </w:tc>
        <w:tc>
          <w:tcPr>
            <w:tcW w:w="123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联系方式</w:t>
            </w:r>
          </w:p>
        </w:tc>
        <w:tc>
          <w:tcPr>
            <w:tcW w:w="229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  <w:tc>
          <w:tcPr>
            <w:tcW w:w="2135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银行账号</w:t>
            </w:r>
          </w:p>
        </w:tc>
        <w:tc>
          <w:tcPr>
            <w:tcW w:w="1234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>开户银行</w:t>
            </w:r>
          </w:p>
        </w:tc>
        <w:tc>
          <w:tcPr>
            <w:tcW w:w="229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  <w:tc>
          <w:tcPr>
            <w:tcW w:w="213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>2025年销售额（万元）</w:t>
            </w:r>
          </w:p>
        </w:tc>
        <w:tc>
          <w:tcPr>
            <w:tcW w:w="12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  <w:tc>
          <w:tcPr>
            <w:tcW w:w="3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>2024年销售额（万元）</w:t>
            </w:r>
          </w:p>
        </w:tc>
        <w:tc>
          <w:tcPr>
            <w:tcW w:w="2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  <w:tc>
          <w:tcPr>
            <w:tcW w:w="2135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>2025年客流量（人次）</w:t>
            </w:r>
          </w:p>
        </w:tc>
        <w:tc>
          <w:tcPr>
            <w:tcW w:w="12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31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>2024年客流量（人次）</w:t>
            </w:r>
          </w:p>
        </w:tc>
        <w:tc>
          <w:tcPr>
            <w:tcW w:w="2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eastAsia="zh-CN"/>
              </w:rPr>
              <w:t>一、引入商户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</w:rPr>
              <w:t>经营情况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eastAsia="zh-CN"/>
              </w:rPr>
              <w:t>（首次达到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val="en-US" w:eastAsia="zh-CN"/>
              </w:rPr>
              <w:t>500万元零售商户及200万元餐饮商户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序号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商户名称</w:t>
            </w: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营业执照全称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统一社会信用代码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开业时间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2025年全年销售额（万元）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eastAsia="zh-CN"/>
              </w:rPr>
              <w:t>二、商场简介（自拟，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val="en-US" w:eastAsia="zh-CN"/>
              </w:rPr>
              <w:t>200字左右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9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>我单位按照《丰台区推动商务经济高质量发展若干措施》有关规定，保证提供的所有申报数据、材料等信息真实合法有效，并接受有关部门的监督。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 xml:space="preserve">    我单位承诺不出现任何违反资金管理制度或有违法违规行为，如存在任何弄虚作假、虚报冒领等违法违规行为，我单位将承担相应责任。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>项目单位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eastAsia="zh-CN"/>
              </w:rPr>
              <w:t>负责人或法人代表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 xml:space="preserve">（签字）：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960" w:firstLineChars="2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</w:rPr>
              <w:t>年   月   日</w:t>
            </w:r>
          </w:p>
        </w:tc>
      </w:tr>
    </w:tbl>
    <w:p>
      <w:pPr>
        <w:suppressAutoHyphens/>
        <w:bidi w:val="0"/>
        <w:spacing w:line="560" w:lineRule="exact"/>
        <w:ind w:left="0" w:leftChars="0" w:firstLine="0" w:firstLineChars="0"/>
        <w:rPr>
          <w:rFonts w:hint="eastAsia" w:ascii="仿宋_GB2312" w:hAnsi="仿宋_GB2312" w:eastAsia="黑体" w:cs="Times New Roman"/>
          <w:kern w:val="44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br w:type="page"/>
      </w:r>
      <w:r>
        <w:rPr>
          <w:rFonts w:hint="eastAsia" w:ascii="仿宋_GB2312" w:hAnsi="仿宋_GB2312" w:eastAsia="黑体" w:cs="Times New Roman"/>
          <w:kern w:val="44"/>
          <w:sz w:val="32"/>
          <w:szCs w:val="24"/>
          <w:lang w:val="en-US" w:eastAsia="zh-CN" w:bidi="ar-SA"/>
        </w:rPr>
        <w:t>附件2：</w:t>
      </w:r>
    </w:p>
    <w:p>
      <w:pPr>
        <w:suppressAutoHyphens/>
        <w:bidi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申报单位承诺书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</w:p>
    <w:p>
      <w:pPr>
        <w:suppressAutoHyphens/>
        <w:bidi w:val="0"/>
        <w:spacing w:line="560" w:lineRule="exact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北京市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丰台</w:t>
      </w:r>
      <w:r>
        <w:rPr>
          <w:rFonts w:hint="eastAsia" w:ascii="仿宋_GB2312" w:hAnsi="仿宋_GB2312" w:eastAsia="仿宋_GB2312" w:cs="仿宋_GB2312"/>
          <w:color w:val="auto"/>
          <w:sz w:val="32"/>
        </w:rPr>
        <w:t>区商务局：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我单位承诺申报项目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</w:rPr>
        <w:t xml:space="preserve">      (未/已/即将)获得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财政</w:t>
      </w:r>
      <w:r>
        <w:rPr>
          <w:rFonts w:hint="eastAsia" w:ascii="仿宋_GB2312" w:hAnsi="仿宋_GB2312" w:eastAsia="仿宋_GB2312" w:cs="仿宋_GB2312"/>
          <w:color w:val="auto"/>
          <w:sz w:val="32"/>
        </w:rPr>
        <w:t>资金支持（含中央、市级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、区级和</w:t>
      </w:r>
      <w:r>
        <w:rPr>
          <w:rFonts w:hint="eastAsia" w:ascii="仿宋_GB2312" w:hAnsi="仿宋_GB2312" w:eastAsia="仿宋_GB2312" w:cs="仿宋_GB2312"/>
          <w:color w:val="auto"/>
          <w:sz w:val="32"/>
        </w:rPr>
        <w:t>其他）(如有，请列出：                  )。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lang w:val="zh-TW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zh-TW" w:eastAsia="zh-CN"/>
        </w:rPr>
        <w:t>我单位承诺</w:t>
      </w:r>
      <w:r>
        <w:rPr>
          <w:rFonts w:hint="eastAsia" w:ascii="仿宋_GB2312" w:hAnsi="仿宋_GB2312" w:eastAsia="仿宋_GB2312" w:cs="仿宋_GB2312"/>
          <w:color w:val="auto"/>
          <w:sz w:val="32"/>
          <w:lang w:val="zh-TW"/>
        </w:rPr>
        <w:t>近2年内无重大不良信用记录</w:t>
      </w:r>
      <w:r>
        <w:rPr>
          <w:rFonts w:hint="eastAsia" w:ascii="仿宋_GB2312" w:hAnsi="仿宋_GB2312" w:eastAsia="仿宋_GB2312" w:cs="仿宋_GB2312"/>
          <w:color w:val="auto"/>
          <w:sz w:val="32"/>
          <w:lang w:val="zh-TW" w:eastAsia="zh-CN"/>
        </w:rPr>
        <w:t>，未被纳入</w:t>
      </w:r>
      <w:r>
        <w:rPr>
          <w:rFonts w:hint="eastAsia" w:ascii="仿宋_GB2312" w:hAnsi="仿宋_GB2312" w:eastAsia="仿宋_GB2312" w:cs="仿宋_GB2312"/>
          <w:color w:val="auto"/>
          <w:sz w:val="32"/>
        </w:rPr>
        <w:t>《北京市新增产业的禁止和限制目录》禁止类和限制类范围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</w:rPr>
        <w:t>全市联合惩戒“黑名单”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等不良信用名单</w:t>
      </w:r>
      <w:r>
        <w:rPr>
          <w:rFonts w:hint="eastAsia" w:ascii="仿宋_GB2312" w:hAnsi="仿宋_GB2312" w:eastAsia="仿宋_GB2312" w:cs="仿宋_GB2312"/>
          <w:color w:val="auto"/>
          <w:sz w:val="32"/>
          <w:lang w:val="zh-TW" w:eastAsia="zh-CN"/>
        </w:rPr>
        <w:t>。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lang w:val="zh-TW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我单位承诺近2年未</w:t>
      </w:r>
      <w:r>
        <w:rPr>
          <w:rFonts w:hint="eastAsia" w:ascii="仿宋_GB2312" w:hAnsi="仿宋_GB2312" w:eastAsia="仿宋_GB2312" w:cs="仿宋_GB2312"/>
          <w:color w:val="auto"/>
          <w:sz w:val="32"/>
        </w:rPr>
        <w:t>涉嫌违法，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未有</w:t>
      </w:r>
      <w:r>
        <w:rPr>
          <w:rFonts w:hint="eastAsia" w:ascii="仿宋_GB2312" w:hAnsi="仿宋_GB2312" w:eastAsia="仿宋_GB2312" w:cs="仿宋_GB2312"/>
          <w:color w:val="auto"/>
          <w:sz w:val="32"/>
        </w:rPr>
        <w:t>正在接受相关部门调查的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情况，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未拖欠应缴还的财政性资金，</w:t>
      </w:r>
      <w:r>
        <w:rPr>
          <w:rFonts w:hint="eastAsia" w:ascii="仿宋_GB2312" w:hAnsi="仿宋_GB2312" w:eastAsia="仿宋_GB2312" w:cs="Times New Roman"/>
          <w:color w:val="auto"/>
          <w:sz w:val="32"/>
          <w:lang w:val="en-US" w:eastAsia="zh-CN"/>
        </w:rPr>
        <w:t>未</w:t>
      </w:r>
      <w:r>
        <w:rPr>
          <w:rFonts w:hint="eastAsia" w:ascii="仿宋_GB2312" w:hAnsi="仿宋_GB2312" w:eastAsia="仿宋_GB2312" w:cs="Times New Roman"/>
          <w:color w:val="auto"/>
          <w:sz w:val="32"/>
        </w:rPr>
        <w:t>存在严重安全隐患</w:t>
      </w:r>
      <w:r>
        <w:rPr>
          <w:rFonts w:hint="eastAsia" w:ascii="仿宋_GB2312" w:hAnsi="仿宋_GB2312" w:eastAsia="仿宋_GB2312" w:cs="Times New Roman"/>
          <w:color w:val="auto"/>
          <w:sz w:val="32"/>
          <w:lang w:eastAsia="zh-CN"/>
        </w:rPr>
        <w:t>，未</w:t>
      </w:r>
      <w:r>
        <w:rPr>
          <w:rFonts w:hint="eastAsia" w:ascii="仿宋_GB2312" w:hAnsi="仿宋_GB2312" w:eastAsia="仿宋_GB2312" w:cs="Times New Roman"/>
          <w:color w:val="auto"/>
          <w:sz w:val="32"/>
        </w:rPr>
        <w:t>发生安全生产事故</w:t>
      </w:r>
      <w:r>
        <w:rPr>
          <w:rFonts w:hint="eastAsia" w:ascii="仿宋_GB2312" w:hAnsi="仿宋_GB2312" w:eastAsia="仿宋_GB2312" w:cs="Times New Roman"/>
          <w:color w:val="auto"/>
          <w:sz w:val="32"/>
          <w:lang w:eastAsia="zh-CN"/>
        </w:rPr>
        <w:t>。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color w:val="auto"/>
          <w:sz w:val="32"/>
        </w:rPr>
        <w:t>单位同意审核单位向司法、统计、财政、税务、市场监管、商务、人力资源社保等相关部门查询核对我单位申报材料信息。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我单位承诺完整留存项目申报材料，如获得资金支持，将积极配合相关监督检查、审计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、调研</w:t>
      </w:r>
      <w:r>
        <w:rPr>
          <w:rFonts w:hint="eastAsia" w:ascii="仿宋_GB2312" w:hAnsi="仿宋_GB2312" w:eastAsia="仿宋_GB2312" w:cs="仿宋_GB2312"/>
          <w:color w:val="auto"/>
          <w:sz w:val="32"/>
        </w:rPr>
        <w:t>等工作。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我单位承诺如获得支持资金，应按照《财政部关于印发修订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〈</w:t>
      </w:r>
      <w:r>
        <w:rPr>
          <w:rFonts w:hint="eastAsia" w:ascii="仿宋_GB2312" w:hAnsi="仿宋_GB2312" w:eastAsia="仿宋_GB2312" w:cs="仿宋_GB2312"/>
          <w:color w:val="auto"/>
          <w:sz w:val="32"/>
        </w:rPr>
        <w:t>企业会计准则第16号—政府补助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〉</w:t>
      </w:r>
      <w:r>
        <w:rPr>
          <w:rFonts w:hint="eastAsia" w:ascii="仿宋_GB2312" w:hAnsi="仿宋_GB2312" w:eastAsia="仿宋_GB2312" w:cs="仿宋_GB2312"/>
          <w:color w:val="auto"/>
          <w:sz w:val="32"/>
        </w:rPr>
        <w:t>的通知》（财会〔2017〕15号）相关规定进行账务办理，相关法律法规另有规定的从其规定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</w:rPr>
        <w:t>如发生截留、挪用、骗取财政资金等违法行为，依照《财政违法行为处罚处分条例》（国务院令第427号，根据2011年国务院令第588号修订）等有关规定承担相应责任。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如有违反上述承诺的不诚信行为，我单位愿意承担由此引发的全部责任和风险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</w:rPr>
        <w:t>无条件退回相应奖励资金。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</w:p>
    <w:p>
      <w:pPr>
        <w:suppressAutoHyphens/>
        <w:bidi w:val="0"/>
        <w:spacing w:line="560" w:lineRule="exact"/>
        <w:ind w:left="0" w:leftChars="0" w:firstLine="1600" w:firstLineChars="500"/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项目单位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负责人或法人代表</w:t>
      </w:r>
      <w:r>
        <w:rPr>
          <w:rFonts w:hint="eastAsia" w:ascii="仿宋_GB2312" w:hAnsi="仿宋_GB2312" w:eastAsia="仿宋_GB2312" w:cs="仿宋_GB2312"/>
          <w:color w:val="auto"/>
          <w:sz w:val="32"/>
        </w:rPr>
        <w:t xml:space="preserve">（签字）：  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 xml:space="preserve">  </w:t>
      </w:r>
    </w:p>
    <w:p>
      <w:pPr>
        <w:suppressAutoHyphens/>
        <w:bidi w:val="0"/>
        <w:spacing w:line="560" w:lineRule="exact"/>
        <w:ind w:left="0" w:leftChars="0" w:firstLine="4160" w:firstLineChars="1300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名称（</w:t>
      </w:r>
      <w:r>
        <w:rPr>
          <w:rFonts w:hint="eastAsia" w:ascii="仿宋_GB2312" w:hAnsi="仿宋_GB2312" w:eastAsia="仿宋_GB2312" w:cs="仿宋_GB2312"/>
          <w:color w:val="auto"/>
          <w:sz w:val="32"/>
        </w:rPr>
        <w:t>公章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）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 xml:space="preserve">                                  年   月   日</w:t>
      </w:r>
    </w:p>
    <w:p>
      <w:pPr>
        <w:suppressAutoHyphens/>
        <w:bidi w:val="0"/>
        <w:spacing w:line="560" w:lineRule="exact"/>
        <w:rPr>
          <w:rFonts w:hint="eastAsia" w:ascii="仿宋_GB2312" w:hAnsi="仿宋_GB2312" w:eastAsia="黑体" w:cs="Times New Roman"/>
          <w:kern w:val="44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br w:type="page"/>
      </w:r>
      <w:r>
        <w:rPr>
          <w:rFonts w:hint="eastAsia" w:ascii="仿宋_GB2312" w:hAnsi="仿宋_GB2312" w:eastAsia="黑体" w:cs="Times New Roman"/>
          <w:kern w:val="44"/>
          <w:sz w:val="32"/>
          <w:szCs w:val="24"/>
          <w:lang w:val="en-US" w:eastAsia="zh-CN" w:bidi="ar-SA"/>
        </w:rPr>
        <w:t>附件3：项目单位证明文件复印件（营业执照、统一社会信用代码证书、法定代表人身份证明和银行开户许可证等）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</w:rPr>
      </w:pPr>
    </w:p>
    <w:p>
      <w:pPr>
        <w:keepNext/>
        <w:keepLines/>
        <w:widowControl w:val="0"/>
        <w:bidi w:val="0"/>
        <w:spacing w:beforeLines="0" w:beforeAutospacing="0" w:afterLines="0" w:afterAutospacing="0" w:line="560" w:lineRule="exact"/>
        <w:ind w:left="0" w:leftChars="0" w:firstLine="0" w:firstLineChars="0"/>
        <w:jc w:val="both"/>
        <w:outlineLvl w:val="0"/>
        <w:rPr>
          <w:rFonts w:hint="eastAsia" w:ascii="仿宋_GB2312" w:hAnsi="仿宋_GB2312" w:eastAsia="黑体" w:cs="Times New Roman"/>
          <w:kern w:val="44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黑体" w:cs="Times New Roman"/>
          <w:kern w:val="44"/>
          <w:sz w:val="32"/>
          <w:szCs w:val="24"/>
          <w:lang w:val="en-US" w:eastAsia="zh-CN" w:bidi="ar-SA"/>
        </w:rPr>
        <w:t>附件4：企业近2年完税凭证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lang w:eastAsia="zh-CN"/>
        </w:rPr>
      </w:pP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lang w:eastAsia="zh-CN"/>
        </w:rPr>
      </w:pPr>
    </w:p>
    <w:p>
      <w:pPr>
        <w:keepNext/>
        <w:keepLines/>
        <w:widowControl w:val="0"/>
        <w:bidi w:val="0"/>
        <w:spacing w:beforeLines="0" w:beforeAutospacing="0" w:afterLines="0" w:afterAutospacing="0" w:line="560" w:lineRule="exact"/>
        <w:ind w:left="0" w:leftChars="0" w:firstLine="0" w:firstLineChars="0"/>
        <w:jc w:val="both"/>
        <w:outlineLvl w:val="0"/>
        <w:rPr>
          <w:rFonts w:hint="eastAsia" w:ascii="仿宋_GB2312" w:hAnsi="仿宋_GB2312" w:eastAsia="黑体" w:cs="Times New Roman"/>
          <w:kern w:val="44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黑体" w:cs="Times New Roman"/>
          <w:kern w:val="44"/>
          <w:sz w:val="32"/>
          <w:szCs w:val="24"/>
          <w:lang w:val="en-US" w:eastAsia="zh-CN" w:bidi="ar-SA"/>
        </w:rPr>
        <w:t>附件5：企业信用报告（市场主体可在“信用中国（北京）”网站查询下载）</w:t>
      </w: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</w:rPr>
      </w:pPr>
    </w:p>
    <w:p>
      <w:pPr>
        <w:suppressAutoHyphens/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</w:rPr>
      </w:pPr>
    </w:p>
    <w:p>
      <w:pPr>
        <w:suppressAutoHyphens/>
        <w:bidi w:val="0"/>
        <w:spacing w:line="560" w:lineRule="exact"/>
        <w:ind w:left="0" w:leftChars="0" w:firstLine="0" w:firstLineChars="0"/>
        <w:rPr>
          <w:rFonts w:hint="eastAsia" w:ascii="仿宋_GB2312" w:hAnsi="仿宋_GB2312" w:eastAsia="黑体" w:cs="Times New Roman"/>
          <w:color w:val="auto"/>
          <w:kern w:val="44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黑体" w:cs="Times New Roman"/>
          <w:kern w:val="44"/>
          <w:sz w:val="32"/>
          <w:szCs w:val="24"/>
          <w:lang w:val="en-US" w:eastAsia="zh-CN" w:bidi="ar-SA"/>
        </w:rPr>
        <w:t>附件6：</w:t>
      </w:r>
      <w:r>
        <w:rPr>
          <w:rFonts w:hint="eastAsia" w:ascii="仿宋_GB2312" w:hAnsi="仿宋_GB2312" w:eastAsia="黑体" w:cs="Times New Roman"/>
          <w:color w:val="auto"/>
          <w:kern w:val="44"/>
          <w:sz w:val="32"/>
          <w:szCs w:val="24"/>
          <w:lang w:val="en-US" w:eastAsia="zh-CN" w:bidi="ar-SA"/>
        </w:rPr>
        <w:t>商业运营主体与商户签订的租赁合同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E67EF"/>
    <w:rsid w:val="768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2026-03-20T07:53:00Z</dcterms:created>
  <dc:creator>Administrator</dc:creator>
  <cp:lastModifiedBy>Administrator</cp:lastModifiedBy>
  <dcterms:modified xsi:type="dcterms:W3CDTF">2026-03-20T07:53:37Z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