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北京市</w:t>
      </w:r>
      <w:r>
        <w:rPr>
          <w:rFonts w:hint="eastAsia" w:ascii="方正小标宋简体" w:eastAsia="方正小标宋简体" w:cs="Times New Roman"/>
          <w:sz w:val="44"/>
          <w:szCs w:val="44"/>
        </w:rPr>
        <w:t>丰台区城市管理委员会</w:t>
      </w:r>
    </w:p>
    <w:p>
      <w:pPr>
        <w:spacing w:line="56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2019年度政府信息公开工作年度报告</w:t>
      </w:r>
    </w:p>
    <w:p>
      <w:pPr>
        <w:spacing w:line="560" w:lineRule="exact"/>
        <w:ind w:firstLine="640" w:firstLineChars="200"/>
        <w:rPr>
          <w:rFonts w:ascii="仿宋_GB2312" w:eastAsia="仿宋_GB2312" w:cs="Times New Roman"/>
          <w:sz w:val="32"/>
          <w:szCs w:val="32"/>
        </w:rPr>
      </w:pPr>
    </w:p>
    <w:p>
      <w:pPr>
        <w:widowControl/>
        <w:autoSpaceDE w:val="0"/>
        <w:spacing w:line="560" w:lineRule="exact"/>
        <w:ind w:firstLine="648"/>
        <w:jc w:val="left"/>
        <w:rPr>
          <w:rFonts w:hint="eastAsia" w:eastAsia="仿宋_GB2312"/>
          <w:kern w:val="0"/>
          <w:sz w:val="32"/>
          <w:szCs w:val="32"/>
          <w:lang w:eastAsia="zh-CN"/>
        </w:rPr>
      </w:pPr>
      <w:r>
        <w:rPr>
          <w:rFonts w:hint="eastAsia" w:ascii="仿宋_GB2312" w:eastAsia="仿宋_GB2312" w:cs="仿宋_GB2312"/>
          <w:sz w:val="32"/>
          <w:szCs w:val="32"/>
          <w:lang w:eastAsia="zh-CN"/>
        </w:rPr>
        <w:t>依据</w:t>
      </w:r>
      <w:r>
        <w:rPr>
          <w:rFonts w:hint="eastAsia" w:ascii="仿宋_GB2312" w:eastAsia="仿宋_GB2312" w:cs="仿宋_GB2312"/>
          <w:sz w:val="32"/>
          <w:szCs w:val="32"/>
        </w:rPr>
        <w:t>《中华人民共和国政府信息公开条例》</w:t>
      </w:r>
      <w:r>
        <w:rPr>
          <w:rFonts w:hint="eastAsia" w:ascii="仿宋_GB2312" w:eastAsia="仿宋_GB2312" w:cs="仿宋_GB2312"/>
          <w:sz w:val="32"/>
          <w:szCs w:val="32"/>
          <w:lang w:eastAsia="zh-CN"/>
        </w:rPr>
        <w:t>第五十条之规定，制作本报告。</w:t>
      </w:r>
    </w:p>
    <w:p>
      <w:pPr>
        <w:widowControl/>
        <w:autoSpaceDE w:val="0"/>
        <w:spacing w:line="560" w:lineRule="exact"/>
        <w:ind w:firstLine="648"/>
        <w:rPr>
          <w:rFonts w:ascii="黑体" w:hAnsi="黑体" w:eastAsia="黑体" w:cs="黑体"/>
          <w:sz w:val="32"/>
          <w:szCs w:val="32"/>
        </w:rPr>
      </w:pPr>
      <w:r>
        <w:rPr>
          <w:rFonts w:hint="eastAsia" w:ascii="黑体" w:hAnsi="黑体" w:eastAsia="黑体" w:cs="黑体"/>
          <w:sz w:val="32"/>
          <w:szCs w:val="32"/>
        </w:rPr>
        <w:t>一、总体情况</w:t>
      </w:r>
    </w:p>
    <w:p>
      <w:pPr>
        <w:widowControl/>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2019年是《中华人民共和国政府信息公开条例》新修订后颁布实施的第一年，我委在区委区政府的领导下，认真做好新旧条例的工作衔接以及贯彻落实市、区各级关于政府信息公开工作的新要求和新部署，进一步优化主动公开内容，进一步完善依申请公开程序，不断提高公开水平。</w:t>
      </w:r>
    </w:p>
    <w:p>
      <w:pPr>
        <w:numPr>
          <w:ilvl w:val="0"/>
          <w:numId w:val="1"/>
        </w:numPr>
        <w:spacing w:line="560" w:lineRule="exact"/>
        <w:ind w:firstLine="640" w:firstLineChars="200"/>
        <w:rPr>
          <w:rFonts w:ascii="仿宋_GB2312" w:eastAsia="仿宋_GB2312" w:cs="仿宋_GB2312"/>
          <w:sz w:val="32"/>
          <w:szCs w:val="32"/>
        </w:rPr>
      </w:pPr>
      <w:r>
        <w:rPr>
          <w:rFonts w:hint="eastAsia" w:ascii="楷体_GB2312" w:hAnsi="楷体_GB2312" w:eastAsia="楷体_GB2312" w:cs="楷体_GB2312"/>
          <w:sz w:val="32"/>
          <w:szCs w:val="32"/>
        </w:rPr>
        <w:t>主动公开情况。</w:t>
      </w:r>
      <w:r>
        <w:rPr>
          <w:rFonts w:hint="eastAsia" w:ascii="仿宋_GB2312" w:eastAsia="仿宋_GB2312" w:cs="仿宋_GB2312"/>
          <w:sz w:val="32"/>
          <w:szCs w:val="32"/>
        </w:rPr>
        <w:t>2019年我委在</w:t>
      </w:r>
      <w:r>
        <w:rPr>
          <w:rFonts w:hint="eastAsia" w:eastAsia="仿宋_GB2312"/>
          <w:kern w:val="0"/>
          <w:sz w:val="32"/>
          <w:szCs w:val="32"/>
        </w:rPr>
        <w:t>“首都之窗”丰台区政府信息公开专栏</w:t>
      </w:r>
      <w:r>
        <w:rPr>
          <w:rFonts w:hint="eastAsia" w:ascii="仿宋_GB2312" w:eastAsia="仿宋_GB2312" w:cs="仿宋_GB2312"/>
          <w:sz w:val="32"/>
          <w:szCs w:val="32"/>
        </w:rPr>
        <w:t>主动公开政府信息84条，全文电子化率为</w:t>
      </w:r>
      <w:r>
        <w:rPr>
          <w:rFonts w:ascii="仿宋_GB2312" w:eastAsia="仿宋_GB2312" w:cs="仿宋_GB2312"/>
          <w:sz w:val="32"/>
          <w:szCs w:val="32"/>
        </w:rPr>
        <w:t>100%</w:t>
      </w:r>
      <w:r>
        <w:rPr>
          <w:rFonts w:hint="eastAsia" w:ascii="仿宋_GB2312" w:eastAsia="仿宋_GB2312" w:cs="仿宋_GB2312"/>
          <w:sz w:val="32"/>
          <w:szCs w:val="32"/>
        </w:rPr>
        <w:t>。其中：机构职责类信息27条，规划计划类信息3条，业务动态类信息52条，结果公示类信息2条</w:t>
      </w:r>
      <w:r>
        <w:rPr>
          <w:rFonts w:hint="eastAsia" w:ascii="楷体_GB2312" w:hAnsi="楷体_GB2312" w:eastAsia="楷体_GB2312" w:cs="楷体_GB2312"/>
          <w:sz w:val="32"/>
          <w:szCs w:val="32"/>
        </w:rPr>
        <w:t>。</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2019年通过我区政府网站公开机构信息、财政预算决算信息6条。通过政务微博公开信息5条。通过“信用中国（北京丰台）”网站行政许可及行政处罚“双公示”785条。</w:t>
      </w:r>
    </w:p>
    <w:p>
      <w:pPr>
        <w:numPr>
          <w:ilvl w:val="0"/>
          <w:numId w:val="1"/>
        </w:numPr>
        <w:spacing w:line="560" w:lineRule="exact"/>
        <w:ind w:firstLine="640" w:firstLineChars="200"/>
        <w:rPr>
          <w:rFonts w:ascii="仿宋_GB2312" w:eastAsia="仿宋_GB2312" w:cs="仿宋_GB2312"/>
          <w:sz w:val="32"/>
          <w:szCs w:val="32"/>
        </w:rPr>
      </w:pPr>
      <w:r>
        <w:rPr>
          <w:rFonts w:hint="eastAsia" w:ascii="楷体_GB2312" w:hAnsi="楷体_GB2312" w:eastAsia="楷体_GB2312" w:cs="楷体_GB2312"/>
          <w:sz w:val="32"/>
          <w:szCs w:val="32"/>
        </w:rPr>
        <w:t>依申请公开办理情况。</w:t>
      </w:r>
      <w:r>
        <w:rPr>
          <w:rFonts w:hint="eastAsia" w:ascii="仿宋_GB2312" w:hAnsi="仿宋" w:eastAsia="仿宋_GB2312" w:cs="宋体"/>
          <w:kern w:val="0"/>
          <w:sz w:val="32"/>
          <w:szCs w:val="32"/>
        </w:rPr>
        <w:t>2019年，我委共收到19件信息公开申请，上一年度结转信息公开申请1件，共计20件。</w:t>
      </w:r>
      <w:r>
        <w:rPr>
          <w:rFonts w:hint="eastAsia" w:ascii="仿宋_GB2312" w:eastAsia="仿宋_GB2312" w:cs="仿宋_GB2312"/>
          <w:sz w:val="32"/>
          <w:szCs w:val="32"/>
        </w:rPr>
        <w:t>其中：同意公开答复数9件，占申请总数的45</w:t>
      </w:r>
      <w:r>
        <w:rPr>
          <w:rFonts w:ascii="仿宋_GB2312" w:eastAsia="仿宋_GB2312" w:cs="仿宋_GB2312"/>
          <w:sz w:val="32"/>
          <w:szCs w:val="32"/>
        </w:rPr>
        <w:t>%</w:t>
      </w:r>
      <w:r>
        <w:rPr>
          <w:rFonts w:hint="eastAsia" w:ascii="仿宋_GB2312" w:eastAsia="仿宋_GB2312" w:cs="仿宋_GB2312"/>
          <w:sz w:val="32"/>
          <w:szCs w:val="32"/>
        </w:rPr>
        <w:t>；同意部分公开答复数1件，占申请总数的5</w:t>
      </w:r>
      <w:r>
        <w:rPr>
          <w:rFonts w:ascii="仿宋_GB2312" w:eastAsia="仿宋_GB2312" w:cs="仿宋_GB2312"/>
          <w:sz w:val="32"/>
          <w:szCs w:val="32"/>
        </w:rPr>
        <w:t>%</w:t>
      </w:r>
      <w:r>
        <w:rPr>
          <w:rFonts w:hint="eastAsia" w:ascii="仿宋_GB2312" w:eastAsia="仿宋_GB2312" w:cs="仿宋_GB2312"/>
          <w:sz w:val="32"/>
          <w:szCs w:val="32"/>
        </w:rPr>
        <w:t>；无法提供公开信息</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件，占申请总数的</w:t>
      </w:r>
      <w:r>
        <w:rPr>
          <w:rFonts w:hint="eastAsia" w:ascii="仿宋_GB2312" w:eastAsia="仿宋_GB2312" w:cs="仿宋_GB2312"/>
          <w:sz w:val="32"/>
          <w:szCs w:val="32"/>
          <w:lang w:val="en-US" w:eastAsia="zh-CN"/>
        </w:rPr>
        <w:t>30</w:t>
      </w:r>
      <w:r>
        <w:rPr>
          <w:rFonts w:ascii="仿宋_GB2312" w:eastAsia="仿宋_GB2312" w:cs="仿宋_GB2312"/>
          <w:sz w:val="32"/>
          <w:szCs w:val="32"/>
        </w:rPr>
        <w:t>%</w:t>
      </w:r>
      <w:r>
        <w:rPr>
          <w:rFonts w:hint="eastAsia" w:ascii="仿宋_GB2312" w:eastAsia="仿宋_GB2312" w:cs="仿宋_GB2312"/>
          <w:sz w:val="32"/>
          <w:szCs w:val="32"/>
        </w:rPr>
        <w:t>；不予公开信息</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件，占申请总数的</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%，不予处理公开信息2件，占申请总数的10%，结转下一年度办理的公开信息1件，占申请总数的5%。</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（三）信息资源规范化、标准化管理情况。</w:t>
      </w:r>
      <w:r>
        <w:rPr>
          <w:rFonts w:hint="eastAsia" w:ascii="仿宋_GB2312" w:eastAsia="仿宋_GB2312" w:cs="仿宋_GB2312"/>
          <w:sz w:val="32"/>
          <w:szCs w:val="32"/>
          <w:lang w:eastAsia="zh-CN"/>
        </w:rPr>
        <w:t>一是</w:t>
      </w:r>
      <w:r>
        <w:rPr>
          <w:rFonts w:hint="eastAsia" w:ascii="仿宋_GB2312" w:eastAsia="仿宋_GB2312" w:cs="仿宋_GB2312"/>
          <w:sz w:val="32"/>
          <w:szCs w:val="32"/>
        </w:rPr>
        <w:t>加强组织领导，确保工作推进。坚持以习近平新时代中国特色社会主义思想</w:t>
      </w:r>
      <w:bookmarkStart w:id="0" w:name="_GoBack"/>
      <w:bookmarkEnd w:id="0"/>
      <w:r>
        <w:rPr>
          <w:rFonts w:hint="eastAsia" w:ascii="仿宋_GB2312" w:eastAsia="仿宋_GB2312" w:cs="仿宋_GB2312"/>
          <w:sz w:val="32"/>
          <w:szCs w:val="32"/>
        </w:rPr>
        <w:t>为指引，深入贯彻落实国家全面推进政务公开工作的决策部署，将全面推进政务公开工作列入重要议事日程，把政务公开工作与全委的各项中心工作同研究、同部署、同推进，并及时在</w:t>
      </w:r>
      <w:r>
        <w:fldChar w:fldCharType="begin"/>
      </w:r>
      <w:r>
        <w:instrText xml:space="preserve"> HYPERLINK "http://www.ynfn.gov.cn/" \t "http://www.ynfn.gov.cn/Item/_blank" </w:instrText>
      </w:r>
      <w:r>
        <w:fldChar w:fldCharType="separate"/>
      </w:r>
      <w:r>
        <w:rPr>
          <w:rFonts w:hint="eastAsia" w:ascii="仿宋_GB2312" w:eastAsia="仿宋_GB2312" w:cs="仿宋_GB2312"/>
          <w:sz w:val="32"/>
          <w:szCs w:val="32"/>
        </w:rPr>
        <w:t>政务网</w:t>
      </w:r>
      <w:r>
        <w:rPr>
          <w:rFonts w:hint="eastAsia" w:ascii="仿宋_GB2312" w:eastAsia="仿宋_GB2312" w:cs="仿宋_GB2312"/>
          <w:sz w:val="32"/>
          <w:szCs w:val="32"/>
        </w:rPr>
        <w:fldChar w:fldCharType="end"/>
      </w:r>
      <w:r>
        <w:rPr>
          <w:rFonts w:hint="eastAsia" w:ascii="仿宋_GB2312" w:eastAsia="仿宋_GB2312" w:cs="仿宋_GB2312"/>
          <w:sz w:val="32"/>
          <w:szCs w:val="32"/>
        </w:rPr>
        <w:t>对外公布。</w:t>
      </w:r>
      <w:r>
        <w:rPr>
          <w:rFonts w:hint="eastAsia" w:ascii="仿宋_GB2312" w:eastAsia="仿宋_GB2312" w:cs="仿宋_GB2312"/>
          <w:sz w:val="32"/>
          <w:szCs w:val="32"/>
          <w:lang w:eastAsia="zh-CN"/>
        </w:rPr>
        <w:t>二是</w:t>
      </w:r>
      <w:r>
        <w:rPr>
          <w:rFonts w:hint="eastAsia" w:ascii="仿宋_GB2312" w:eastAsia="仿宋_GB2312" w:cs="仿宋_GB2312"/>
          <w:sz w:val="32"/>
          <w:szCs w:val="32"/>
        </w:rPr>
        <w:t>完善政府信息公开制度建设。明确主管领导、主管科室和具体负责人，并报区政府备案</w:t>
      </w:r>
      <w:r>
        <w:rPr>
          <w:rFonts w:hint="eastAsia" w:ascii="仿宋_GB2312" w:eastAsia="仿宋_GB2312" w:cs="仿宋_GB2312"/>
          <w:sz w:val="32"/>
          <w:szCs w:val="32"/>
          <w:lang w:eastAsia="zh-CN"/>
        </w:rPr>
        <w:t>；</w:t>
      </w:r>
      <w:r>
        <w:rPr>
          <w:rFonts w:hint="eastAsia" w:ascii="仿宋_GB2312" w:eastAsia="仿宋_GB2312" w:cs="仿宋_GB2312"/>
          <w:sz w:val="32"/>
          <w:szCs w:val="32"/>
        </w:rPr>
        <w:t>按照2019年政务公开工作要点要求，制定工作方案，明确分工职责，落实责任人员，及时做好重点领域的信息公开工作，做到年度工作目标明确，计划措施落实到位</w:t>
      </w:r>
      <w:r>
        <w:rPr>
          <w:rFonts w:hint="eastAsia" w:ascii="仿宋_GB2312" w:eastAsia="仿宋_GB2312" w:cs="仿宋_GB2312"/>
          <w:sz w:val="32"/>
          <w:szCs w:val="32"/>
          <w:lang w:eastAsia="zh-CN"/>
        </w:rPr>
        <w:t>；</w:t>
      </w:r>
      <w:r>
        <w:rPr>
          <w:rFonts w:hint="eastAsia" w:ascii="仿宋_GB2312" w:eastAsia="仿宋_GB2312" w:cs="仿宋_GB2312"/>
          <w:sz w:val="32"/>
          <w:szCs w:val="32"/>
        </w:rPr>
        <w:t>健全工作机制，建立包括及时清理过期信息、公开前保密审查、受理电话咨询、澄清虚假或不完整信息、专栏管理、受理依申请公开、进行年度报告等项目在内的信息公开工作机制。</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（四）政府信息公开平台建设情况 。</w:t>
      </w:r>
      <w:r>
        <w:rPr>
          <w:rFonts w:hint="eastAsia" w:ascii="仿宋_GB2312" w:hAnsi="仿宋" w:eastAsia="仿宋_GB2312" w:cs="宋体"/>
          <w:kern w:val="0"/>
          <w:sz w:val="32"/>
          <w:szCs w:val="32"/>
        </w:rPr>
        <w:t>我委严格落实信息公开规范管理工作要求。在主动公开方面：</w:t>
      </w:r>
      <w:r>
        <w:rPr>
          <w:rFonts w:hint="eastAsia" w:ascii="仿宋_GB2312" w:eastAsia="仿宋_GB2312" w:cs="仿宋_GB2312"/>
          <w:sz w:val="32"/>
          <w:szCs w:val="32"/>
        </w:rPr>
        <w:t>一是充分依托“首都之窗”网站，设立门类齐全的信息发布栏目，及时发布我委各类动态、法律法规，解读相关政策。二是开通政务微博，安排专人监测，及时回复、回应网友提问或咨询以及社会关切。在依申请公开方面，依据《中华人民共和国政府信息公开条例》和《北京市政府信息公开规定》，</w:t>
      </w:r>
      <w:r>
        <w:rPr>
          <w:rFonts w:hint="eastAsia" w:ascii="仿宋_GB2312" w:hAnsi="仿宋" w:eastAsia="仿宋_GB2312" w:cs="宋体"/>
          <w:kern w:val="0"/>
          <w:sz w:val="32"/>
          <w:szCs w:val="32"/>
        </w:rPr>
        <w:t>开通了传真、邮箱、信件邮寄、当面申请等多个申请信息公开受理渠道，</w:t>
      </w:r>
      <w:r>
        <w:rPr>
          <w:rFonts w:hint="eastAsia" w:ascii="仿宋_GB2312" w:eastAsia="仿宋_GB2312" w:cs="仿宋_GB2312"/>
          <w:sz w:val="32"/>
          <w:szCs w:val="32"/>
        </w:rPr>
        <w:t>受理答复群众提出的信息公开申请。</w:t>
      </w:r>
      <w:r>
        <w:rPr>
          <w:rFonts w:hint="eastAsia" w:ascii="仿宋_GB2312" w:hAnsi="仿宋" w:eastAsia="仿宋_GB2312" w:cs="宋体"/>
          <w:kern w:val="0"/>
          <w:sz w:val="32"/>
          <w:szCs w:val="32"/>
        </w:rPr>
        <w:t>专人负责、依规办理，</w:t>
      </w:r>
      <w:r>
        <w:rPr>
          <w:rFonts w:hint="eastAsia" w:ascii="仿宋_GB2312" w:eastAsia="仿宋_GB2312" w:cs="仿宋_GB2312"/>
          <w:sz w:val="32"/>
          <w:szCs w:val="32"/>
        </w:rPr>
        <w:t>并通过群众前来当面领取或邮寄挂号信等方式将信息公开答复告知申请群众，认真做好解释说明工作。</w:t>
      </w:r>
      <w:r>
        <w:rPr>
          <w:rFonts w:hint="eastAsia" w:ascii="楷体_GB2312" w:hAnsi="楷体_GB2312" w:eastAsia="楷体_GB2312" w:cs="楷体_GB2312"/>
          <w:sz w:val="32"/>
          <w:szCs w:val="32"/>
        </w:rPr>
        <w:t xml:space="preserve"> </w:t>
      </w:r>
    </w:p>
    <w:p>
      <w:pPr>
        <w:spacing w:line="560" w:lineRule="exact"/>
        <w:ind w:firstLine="640" w:firstLineChars="200"/>
        <w:rPr>
          <w:rFonts w:ascii="仿宋_GB2312" w:eastAsia="仿宋_GB2312" w:cs="仿宋_GB2312"/>
          <w:sz w:val="32"/>
          <w:szCs w:val="32"/>
        </w:rPr>
      </w:pPr>
      <w:r>
        <w:rPr>
          <w:rFonts w:hint="eastAsia" w:ascii="楷体_GB2312" w:hAnsi="楷体_GB2312" w:eastAsia="楷体_GB2312" w:cs="楷体_GB2312"/>
          <w:sz w:val="32"/>
          <w:szCs w:val="32"/>
        </w:rPr>
        <w:t>（五）政府信息公开监督保障及教育培训情况。</w:t>
      </w:r>
      <w:r>
        <w:rPr>
          <w:rFonts w:hint="eastAsia" w:ascii="仿宋_GB2312" w:eastAsia="仿宋_GB2312" w:cs="仿宋_GB2312"/>
          <w:sz w:val="32"/>
          <w:szCs w:val="32"/>
        </w:rPr>
        <w:t>2019年安排我委法律顾问结合信息公开案例及我委政府信息依申请公开中存在的一些问题在主任办公会上向科以上干部进行了讲解。同时，我委指派专人积极参加区政务服务局组织的各项信息公开培训活动。通过学习和培训加深了对信息公开工作的理解，进一步提高机关干部依法行政的能力。</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（六）市和区人民政府工作考核、社会评议和责任追究结果情况。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根据最近2</w:t>
      </w:r>
      <w:r>
        <w:rPr>
          <w:rFonts w:hint="eastAsia" w:ascii="仿宋_GB2312" w:eastAsia="仿宋_GB2312" w:cs="仿宋_GB2312"/>
          <w:sz w:val="32"/>
          <w:szCs w:val="32"/>
          <w:lang w:val="zh-CN"/>
        </w:rPr>
        <w:t>018年度区政府绩效管理专项（任务）考评结果</w:t>
      </w:r>
      <w:r>
        <w:rPr>
          <w:rFonts w:hint="eastAsia" w:ascii="仿宋_GB2312" w:eastAsia="仿宋_GB2312" w:cs="仿宋_GB2312"/>
          <w:sz w:val="32"/>
          <w:szCs w:val="32"/>
        </w:rPr>
        <w:t>，我委在政府信息和政务公开工作方面得分为95.5分。总体评价为：“根据市政府办公厅及区政府相关工作要求，城市管理委能积极开展政府信息和政务公开工作，日常性政务公开工作比较完善。”</w:t>
      </w:r>
    </w:p>
    <w:p>
      <w:pPr>
        <w:widowControl/>
        <w:autoSpaceDE w:val="0"/>
        <w:spacing w:line="560" w:lineRule="exact"/>
        <w:ind w:firstLine="648"/>
        <w:rPr>
          <w:rFonts w:ascii="黑体" w:hAnsi="黑体" w:eastAsia="黑体" w:cs="黑体"/>
          <w:sz w:val="32"/>
          <w:szCs w:val="32"/>
        </w:rPr>
      </w:pPr>
      <w:r>
        <w:rPr>
          <w:rFonts w:hint="eastAsia" w:ascii="黑体" w:hAnsi="黑体" w:eastAsia="黑体" w:cs="黑体"/>
          <w:sz w:val="32"/>
          <w:szCs w:val="32"/>
        </w:rPr>
        <w:t>二、主动公开政府信息情况</w:t>
      </w:r>
    </w:p>
    <w:p>
      <w:pPr>
        <w:spacing w:line="560" w:lineRule="exact"/>
        <w:rPr>
          <w:rFonts w:ascii="仿宋_GB2312" w:eastAsia="仿宋_GB2312" w:cs="仿宋_GB2312"/>
          <w:sz w:val="32"/>
          <w:szCs w:val="32"/>
        </w:rPr>
      </w:pPr>
      <w:r>
        <w:rPr>
          <w:rFonts w:hint="eastAsia" w:ascii="仿宋_GB2312" w:eastAsia="仿宋_GB2312" w:cs="仿宋_GB2312"/>
          <w:sz w:val="32"/>
          <w:szCs w:val="32"/>
        </w:rPr>
        <w:t xml:space="preserve">   </w:t>
      </w:r>
    </w:p>
    <w:tbl>
      <w:tblPr>
        <w:tblStyle w:val="6"/>
        <w:tblW w:w="8140" w:type="dxa"/>
        <w:jc w:val="center"/>
        <w:tblLayout w:type="fixed"/>
        <w:tblCellMar>
          <w:top w:w="15" w:type="dxa"/>
          <w:left w:w="15" w:type="dxa"/>
          <w:bottom w:w="15" w:type="dxa"/>
          <w:right w:w="15" w:type="dxa"/>
        </w:tblCellMar>
      </w:tblPr>
      <w:tblGrid>
        <w:gridCol w:w="2233"/>
        <w:gridCol w:w="1035"/>
        <w:gridCol w:w="1720"/>
        <w:gridCol w:w="6"/>
        <w:gridCol w:w="1265"/>
        <w:gridCol w:w="1881"/>
      </w:tblGrid>
      <w:tr>
        <w:tblPrEx>
          <w:tblCellMar>
            <w:top w:w="15" w:type="dxa"/>
            <w:left w:w="15" w:type="dxa"/>
            <w:bottom w:w="15" w:type="dxa"/>
            <w:right w:w="15" w:type="dxa"/>
          </w:tblCellMar>
        </w:tblPrEx>
        <w:trPr>
          <w:trHeight w:val="495" w:hRule="atLeast"/>
          <w:jc w:val="center"/>
        </w:trPr>
        <w:tc>
          <w:tcPr>
            <w:tcW w:w="8140" w:type="dxa"/>
            <w:gridSpan w:val="6"/>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第二十条第（一）项</w:t>
            </w:r>
          </w:p>
        </w:tc>
      </w:tr>
      <w:tr>
        <w:tblPrEx>
          <w:tblCellMar>
            <w:top w:w="15" w:type="dxa"/>
            <w:left w:w="15" w:type="dxa"/>
            <w:bottom w:w="15" w:type="dxa"/>
            <w:right w:w="15" w:type="dxa"/>
          </w:tblCellMar>
        </w:tblPrEx>
        <w:trPr>
          <w:trHeight w:val="882"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color w:val="000000"/>
                <w:kern w:val="0"/>
                <w:sz w:val="20"/>
                <w:szCs w:val="20"/>
              </w:rPr>
              <w:t>制作数量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color w:val="000000"/>
                <w:kern w:val="0"/>
                <w:sz w:val="20"/>
                <w:szCs w:val="20"/>
              </w:rPr>
              <w:t>公开数量</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对外公开总数量</w:t>
            </w:r>
          </w:p>
        </w:tc>
      </w:tr>
      <w:tr>
        <w:tblPrEx>
          <w:tblCellMar>
            <w:top w:w="15" w:type="dxa"/>
            <w:left w:w="15" w:type="dxa"/>
            <w:bottom w:w="15" w:type="dxa"/>
            <w:right w:w="15" w:type="dxa"/>
          </w:tblCellMar>
        </w:tblPrEx>
        <w:trPr>
          <w:trHeight w:val="523"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规章</w:t>
            </w:r>
          </w:p>
        </w:tc>
        <w:tc>
          <w:tcPr>
            <w:tcW w:w="1720"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1"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规范性文件</w:t>
            </w:r>
          </w:p>
        </w:tc>
        <w:tc>
          <w:tcPr>
            <w:tcW w:w="1720"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80"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第二十条第（五）项</w:t>
            </w:r>
          </w:p>
        </w:tc>
      </w:tr>
      <w:tr>
        <w:tblPrEx>
          <w:tblCellMar>
            <w:top w:w="15" w:type="dxa"/>
            <w:left w:w="15" w:type="dxa"/>
            <w:bottom w:w="15" w:type="dxa"/>
            <w:right w:w="15" w:type="dxa"/>
          </w:tblCellMar>
        </w:tblPrEx>
        <w:trPr>
          <w:trHeight w:val="634"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处理决定数量</w:t>
            </w:r>
          </w:p>
        </w:tc>
      </w:tr>
      <w:tr>
        <w:tblPrEx>
          <w:tblCellMar>
            <w:top w:w="15" w:type="dxa"/>
            <w:left w:w="15" w:type="dxa"/>
            <w:bottom w:w="15" w:type="dxa"/>
            <w:right w:w="15" w:type="dxa"/>
          </w:tblCellMar>
        </w:tblPrEx>
        <w:trPr>
          <w:trHeight w:val="528" w:hRule="atLeast"/>
          <w:jc w:val="center"/>
        </w:trPr>
        <w:tc>
          <w:tcPr>
            <w:tcW w:w="3268" w:type="dxa"/>
            <w:gridSpan w:val="2"/>
            <w:tcBorders>
              <w:top w:val="nil"/>
              <w:left w:val="single" w:color="auto" w:sz="8"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行政许可</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0"/>
                <w:szCs w:val="20"/>
                <w:lang w:val="en-US" w:eastAsia="zh-CN"/>
              </w:rPr>
              <w:t>20</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0"/>
                <w:szCs w:val="20"/>
                <w:lang w:val="en-US" w:eastAsia="zh-CN"/>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0"/>
                <w:szCs w:val="20"/>
                <w:lang w:val="en-US" w:eastAsia="zh-CN"/>
              </w:rPr>
              <w:t>785</w:t>
            </w:r>
          </w:p>
        </w:tc>
      </w:tr>
      <w:tr>
        <w:tblPrEx>
          <w:tblCellMar>
            <w:top w:w="15" w:type="dxa"/>
            <w:left w:w="15" w:type="dxa"/>
            <w:bottom w:w="15" w:type="dxa"/>
            <w:right w:w="15" w:type="dxa"/>
          </w:tblCellMar>
        </w:tblPrEx>
        <w:trPr>
          <w:trHeight w:val="550" w:hRule="atLeast"/>
          <w:jc w:val="center"/>
        </w:trPr>
        <w:tc>
          <w:tcPr>
            <w:tcW w:w="2233" w:type="dxa"/>
            <w:vMerge w:val="restart"/>
            <w:tcBorders>
              <w:top w:val="single" w:color="auto" w:sz="4" w:space="0"/>
              <w:left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4"/>
                <w:szCs w:val="24"/>
              </w:rPr>
            </w:pPr>
            <w:r>
              <w:rPr>
                <w:rFonts w:hint="eastAsia" w:ascii="宋体" w:hAnsi="宋体" w:cs="宋体"/>
                <w:color w:val="000000"/>
                <w:kern w:val="0"/>
                <w:sz w:val="20"/>
                <w:szCs w:val="20"/>
              </w:rPr>
              <w:t>其他对外管理服务事项</w:t>
            </w:r>
          </w:p>
        </w:tc>
        <w:tc>
          <w:tcPr>
            <w:tcW w:w="1035" w:type="dxa"/>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行政检查</w:t>
            </w:r>
          </w:p>
        </w:tc>
        <w:tc>
          <w:tcPr>
            <w:tcW w:w="1726" w:type="dxa"/>
            <w:gridSpan w:val="2"/>
            <w:tcBorders>
              <w:top w:val="nil"/>
              <w:left w:val="single" w:color="auto" w:sz="4"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0"/>
                <w:szCs w:val="20"/>
                <w:lang w:val="en-US" w:eastAsia="zh-CN"/>
              </w:rPr>
              <w:t>4</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0"/>
                <w:szCs w:val="20"/>
                <w:lang w:val="en-US" w:eastAsia="zh-CN"/>
              </w:rPr>
              <w:t>220</w:t>
            </w:r>
          </w:p>
        </w:tc>
      </w:tr>
      <w:tr>
        <w:tblPrEx>
          <w:tblCellMar>
            <w:top w:w="15" w:type="dxa"/>
            <w:left w:w="15" w:type="dxa"/>
            <w:bottom w:w="15" w:type="dxa"/>
            <w:right w:w="15" w:type="dxa"/>
          </w:tblCellMar>
        </w:tblPrEx>
        <w:trPr>
          <w:trHeight w:val="550" w:hRule="atLeast"/>
          <w:jc w:val="center"/>
        </w:trPr>
        <w:tc>
          <w:tcPr>
            <w:tcW w:w="2233" w:type="dxa"/>
            <w:vMerge w:val="continue"/>
            <w:tcBorders>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p>
        </w:tc>
        <w:tc>
          <w:tcPr>
            <w:tcW w:w="1035" w:type="dxa"/>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行政确认</w:t>
            </w:r>
          </w:p>
        </w:tc>
        <w:tc>
          <w:tcPr>
            <w:tcW w:w="1726" w:type="dxa"/>
            <w:gridSpan w:val="2"/>
            <w:tcBorders>
              <w:top w:val="nil"/>
              <w:left w:val="single" w:color="auto" w:sz="4"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265"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881" w:type="dxa"/>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06"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第二十条第（六）项</w:t>
            </w:r>
          </w:p>
        </w:tc>
      </w:tr>
      <w:tr>
        <w:tblPrEx>
          <w:tblCellMar>
            <w:top w:w="15" w:type="dxa"/>
            <w:left w:w="15" w:type="dxa"/>
            <w:bottom w:w="15" w:type="dxa"/>
            <w:right w:w="15" w:type="dxa"/>
          </w:tblCellMar>
        </w:tblPrEx>
        <w:trPr>
          <w:trHeight w:val="634" w:hRule="atLeast"/>
          <w:jc w:val="center"/>
        </w:trPr>
        <w:tc>
          <w:tcPr>
            <w:tcW w:w="3268" w:type="dxa"/>
            <w:gridSpan w:val="2"/>
            <w:tcBorders>
              <w:top w:val="nil"/>
              <w:left w:val="single" w:color="auto" w:sz="8"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0" w:type="dxa"/>
            <w:tcBorders>
              <w:top w:val="single" w:color="auto" w:sz="8"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处理决定数量</w:t>
            </w:r>
          </w:p>
        </w:tc>
      </w:tr>
      <w:tr>
        <w:tblPrEx>
          <w:tblCellMar>
            <w:top w:w="15" w:type="dxa"/>
            <w:left w:w="15" w:type="dxa"/>
            <w:bottom w:w="15" w:type="dxa"/>
            <w:right w:w="15" w:type="dxa"/>
          </w:tblCellMar>
        </w:tblPrEx>
        <w:trPr>
          <w:trHeight w:val="430" w:hRule="atLeast"/>
          <w:jc w:val="center"/>
        </w:trPr>
        <w:tc>
          <w:tcPr>
            <w:tcW w:w="3268" w:type="dxa"/>
            <w:gridSpan w:val="2"/>
            <w:tcBorders>
              <w:top w:val="single" w:color="auto" w:sz="4" w:space="0"/>
              <w:left w:val="single" w:color="auto" w:sz="4" w:space="0"/>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行政处罚</w:t>
            </w:r>
          </w:p>
        </w:tc>
        <w:tc>
          <w:tcPr>
            <w:tcW w:w="1726" w:type="dxa"/>
            <w:gridSpan w:val="2"/>
            <w:tcBorders>
              <w:top w:val="single" w:color="auto" w:sz="4"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65" w:type="dxa"/>
            <w:tcBorders>
              <w:top w:val="single" w:color="auto" w:sz="4" w:space="0"/>
              <w:left w:val="nil"/>
              <w:bottom w:val="single" w:color="auto" w:sz="4"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single" w:color="auto" w:sz="4" w:space="0"/>
              <w:left w:val="nil"/>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09" w:hRule="atLeast"/>
          <w:jc w:val="center"/>
        </w:trPr>
        <w:tc>
          <w:tcPr>
            <w:tcW w:w="3268" w:type="dxa"/>
            <w:gridSpan w:val="2"/>
            <w:tcBorders>
              <w:top w:val="single" w:color="auto" w:sz="4" w:space="0"/>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行政强制</w:t>
            </w:r>
          </w:p>
        </w:tc>
        <w:tc>
          <w:tcPr>
            <w:tcW w:w="1726" w:type="dxa"/>
            <w:gridSpan w:val="2"/>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265" w:type="dxa"/>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c>
          <w:tcPr>
            <w:tcW w:w="1881" w:type="dxa"/>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4"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第二十条第（八）项</w:t>
            </w:r>
          </w:p>
        </w:tc>
      </w:tr>
      <w:tr>
        <w:tblPrEx>
          <w:tblCellMar>
            <w:top w:w="15" w:type="dxa"/>
            <w:left w:w="15" w:type="dxa"/>
            <w:bottom w:w="15" w:type="dxa"/>
            <w:right w:w="15" w:type="dxa"/>
          </w:tblCellMar>
        </w:tblPrEx>
        <w:trPr>
          <w:trHeight w:val="270"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本年增/减</w:t>
            </w:r>
          </w:p>
        </w:tc>
      </w:tr>
      <w:tr>
        <w:tblPrEx>
          <w:tblCellMar>
            <w:top w:w="15" w:type="dxa"/>
            <w:left w:w="15" w:type="dxa"/>
            <w:bottom w:w="15" w:type="dxa"/>
            <w:right w:w="15" w:type="dxa"/>
          </w:tblCellMar>
        </w:tblPrEx>
        <w:trPr>
          <w:trHeight w:val="551" w:hRule="atLeast"/>
          <w:jc w:val="center"/>
        </w:trPr>
        <w:tc>
          <w:tcPr>
            <w:tcW w:w="3268" w:type="dxa"/>
            <w:gridSpan w:val="2"/>
            <w:tcBorders>
              <w:top w:val="nil"/>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行政事业性收费</w:t>
            </w:r>
          </w:p>
        </w:tc>
        <w:tc>
          <w:tcPr>
            <w:tcW w:w="1726" w:type="dxa"/>
            <w:gridSpan w:val="2"/>
            <w:tcBorders>
              <w:top w:val="nil"/>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2</w:t>
            </w:r>
          </w:p>
        </w:tc>
        <w:tc>
          <w:tcPr>
            <w:tcW w:w="3146" w:type="dxa"/>
            <w:gridSpan w:val="2"/>
            <w:tcBorders>
              <w:top w:val="nil"/>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0</w:t>
            </w:r>
          </w:p>
        </w:tc>
      </w:tr>
      <w:tr>
        <w:tblPrEx>
          <w:tblCellMar>
            <w:top w:w="15" w:type="dxa"/>
            <w:left w:w="15" w:type="dxa"/>
            <w:bottom w:w="15" w:type="dxa"/>
            <w:right w:w="15" w:type="dxa"/>
          </w:tblCellMar>
        </w:tblPrEx>
        <w:trPr>
          <w:trHeight w:val="476" w:hRule="atLeast"/>
          <w:jc w:val="center"/>
        </w:trPr>
        <w:tc>
          <w:tcPr>
            <w:tcW w:w="8140" w:type="dxa"/>
            <w:gridSpan w:val="6"/>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第二十条第（九）项</w:t>
            </w:r>
          </w:p>
        </w:tc>
      </w:tr>
      <w:tr>
        <w:tblPrEx>
          <w:tblCellMar>
            <w:top w:w="15" w:type="dxa"/>
            <w:left w:w="15" w:type="dxa"/>
            <w:bottom w:w="15" w:type="dxa"/>
            <w:right w:w="15" w:type="dxa"/>
          </w:tblCellMar>
        </w:tblPrEx>
        <w:trPr>
          <w:trHeight w:val="585" w:hRule="atLeast"/>
          <w:jc w:val="center"/>
        </w:trPr>
        <w:tc>
          <w:tcPr>
            <w:tcW w:w="3268" w:type="dxa"/>
            <w:gridSpan w:val="2"/>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信息内容</w:t>
            </w:r>
          </w:p>
        </w:tc>
        <w:tc>
          <w:tcPr>
            <w:tcW w:w="1726" w:type="dxa"/>
            <w:gridSpan w:val="2"/>
            <w:tcBorders>
              <w:top w:val="single" w:color="auto" w:sz="4" w:space="0"/>
              <w:left w:val="single" w:color="auto" w:sz="4" w:space="0"/>
              <w:bottom w:val="single" w:color="auto" w:sz="4" w:space="0"/>
              <w:right w:val="single" w:color="auto" w:sz="4"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采购项目数量</w:t>
            </w:r>
          </w:p>
        </w:tc>
        <w:tc>
          <w:tcPr>
            <w:tcW w:w="3146" w:type="dxa"/>
            <w:gridSpan w:val="2"/>
            <w:tcBorders>
              <w:top w:val="single" w:color="auto" w:sz="8" w:space="0"/>
              <w:left w:val="single" w:color="auto" w:sz="4" w:space="0"/>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采购总金额（万元，保留四位小数）</w:t>
            </w:r>
          </w:p>
        </w:tc>
      </w:tr>
      <w:tr>
        <w:tblPrEx>
          <w:tblCellMar>
            <w:top w:w="15" w:type="dxa"/>
            <w:left w:w="15" w:type="dxa"/>
            <w:bottom w:w="15" w:type="dxa"/>
            <w:right w:w="15" w:type="dxa"/>
          </w:tblCellMar>
        </w:tblPrEx>
        <w:trPr>
          <w:trHeight w:val="539" w:hRule="atLeast"/>
          <w:jc w:val="center"/>
        </w:trPr>
        <w:tc>
          <w:tcPr>
            <w:tcW w:w="3268" w:type="dxa"/>
            <w:gridSpan w:val="2"/>
            <w:tcBorders>
              <w:top w:val="single" w:color="auto" w:sz="4" w:space="0"/>
              <w:left w:val="single" w:color="auto" w:sz="8" w:space="0"/>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政府集中采购</w:t>
            </w:r>
          </w:p>
        </w:tc>
        <w:tc>
          <w:tcPr>
            <w:tcW w:w="1726" w:type="dxa"/>
            <w:gridSpan w:val="2"/>
            <w:tcBorders>
              <w:top w:val="single" w:color="auto" w:sz="4" w:space="0"/>
              <w:left w:val="nil"/>
              <w:bottom w:val="single" w:color="auto" w:sz="8" w:space="0"/>
              <w:right w:val="single" w:color="auto" w:sz="8" w:space="0"/>
            </w:tcBorders>
            <w:shd w:val="clear" w:color="auto" w:fill="E6F4FF"/>
            <w:noWrap/>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15</w:t>
            </w:r>
          </w:p>
        </w:tc>
        <w:tc>
          <w:tcPr>
            <w:tcW w:w="3146" w:type="dxa"/>
            <w:gridSpan w:val="2"/>
            <w:tcBorders>
              <w:top w:val="nil"/>
              <w:left w:val="nil"/>
              <w:bottom w:val="single" w:color="auto" w:sz="8" w:space="0"/>
              <w:right w:val="single" w:color="000000" w:sz="8" w:space="0"/>
            </w:tcBorders>
            <w:shd w:val="clear" w:color="auto" w:fill="E6F4FF"/>
            <w:noWrap/>
            <w:tcMar>
              <w:top w:w="0" w:type="dxa"/>
              <w:left w:w="108" w:type="dxa"/>
              <w:bottom w:w="0" w:type="dxa"/>
              <w:right w:w="108" w:type="dxa"/>
            </w:tcMar>
            <w:vAlign w:val="center"/>
          </w:tcPr>
          <w:p>
            <w:pPr>
              <w:widowControl/>
              <w:ind w:firstLine="800" w:firstLineChars="400"/>
              <w:jc w:val="center"/>
              <w:rPr>
                <w:rFonts w:ascii="宋体" w:hAnsi="宋体" w:cs="宋体"/>
                <w:color w:val="000000"/>
                <w:kern w:val="0"/>
                <w:sz w:val="24"/>
                <w:szCs w:val="24"/>
              </w:rPr>
            </w:pPr>
            <w:r>
              <w:rPr>
                <w:rFonts w:hint="eastAsia" w:ascii="宋体" w:hAnsi="宋体" w:cs="宋体"/>
                <w:color w:val="000000"/>
                <w:kern w:val="0"/>
                <w:sz w:val="20"/>
                <w:szCs w:val="20"/>
              </w:rPr>
              <w:t>51.3487</w:t>
            </w:r>
          </w:p>
        </w:tc>
      </w:tr>
    </w:tbl>
    <w:p>
      <w:pPr>
        <w:spacing w:line="560" w:lineRule="exact"/>
        <w:rPr>
          <w:rFonts w:ascii="仿宋_GB2312" w:eastAsia="仿宋_GB2312" w:cs="仿宋_GB2312"/>
          <w:sz w:val="32"/>
          <w:szCs w:val="32"/>
        </w:rPr>
      </w:pPr>
    </w:p>
    <w:p>
      <w:pPr>
        <w:widowControl/>
        <w:numPr>
          <w:ilvl w:val="0"/>
          <w:numId w:val="2"/>
        </w:numPr>
        <w:autoSpaceDE w:val="0"/>
        <w:spacing w:line="560" w:lineRule="exact"/>
        <w:ind w:firstLine="648"/>
        <w:rPr>
          <w:rFonts w:ascii="黑体" w:hAnsi="黑体" w:eastAsia="黑体" w:cs="黑体"/>
          <w:sz w:val="32"/>
          <w:szCs w:val="32"/>
        </w:rPr>
      </w:pPr>
      <w:r>
        <w:rPr>
          <w:rFonts w:hint="eastAsia" w:ascii="黑体" w:hAnsi="黑体" w:eastAsia="黑体" w:cs="黑体"/>
          <w:sz w:val="32"/>
          <w:szCs w:val="32"/>
        </w:rPr>
        <w:t>收到和处理政府信息公开申请情况</w:t>
      </w:r>
    </w:p>
    <w:tbl>
      <w:tblPr>
        <w:tblStyle w:val="6"/>
        <w:tblW w:w="9071" w:type="dxa"/>
        <w:jc w:val="center"/>
        <w:tblLayout w:type="autofit"/>
        <w:tblCellMar>
          <w:top w:w="15" w:type="dxa"/>
          <w:left w:w="15" w:type="dxa"/>
          <w:bottom w:w="15" w:type="dxa"/>
          <w:right w:w="15" w:type="dxa"/>
        </w:tblCellMar>
      </w:tblPr>
      <w:tblGrid>
        <w:gridCol w:w="616"/>
        <w:gridCol w:w="854"/>
        <w:gridCol w:w="2086"/>
        <w:gridCol w:w="813"/>
        <w:gridCol w:w="755"/>
        <w:gridCol w:w="755"/>
        <w:gridCol w:w="813"/>
        <w:gridCol w:w="973"/>
        <w:gridCol w:w="711"/>
        <w:gridCol w:w="695"/>
      </w:tblGrid>
      <w:tr>
        <w:tblPrEx>
          <w:tblCellMar>
            <w:top w:w="15" w:type="dxa"/>
            <w:left w:w="15" w:type="dxa"/>
            <w:bottom w:w="15" w:type="dxa"/>
            <w:right w:w="15" w:type="dxa"/>
          </w:tblCellMar>
        </w:tblPrEx>
        <w:trPr>
          <w:jc w:val="center"/>
        </w:trPr>
        <w:tc>
          <w:tcPr>
            <w:tcW w:w="3479" w:type="dxa"/>
            <w:gridSpan w:val="3"/>
            <w:vMerge w:val="restart"/>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（本列数据的勾稽关系为：第一项加第二项之和，等于第三项加第四项之和）</w:t>
            </w:r>
          </w:p>
        </w:tc>
        <w:tc>
          <w:tcPr>
            <w:tcW w:w="5592" w:type="dxa"/>
            <w:gridSpan w:val="7"/>
            <w:tcBorders>
              <w:top w:val="single" w:color="auto" w:sz="4" w:space="0"/>
              <w:left w:val="nil"/>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申请人情况</w:t>
            </w:r>
          </w:p>
        </w:tc>
      </w:tr>
      <w:tr>
        <w:tblPrEx>
          <w:tblCellMar>
            <w:top w:w="15" w:type="dxa"/>
            <w:left w:w="15" w:type="dxa"/>
            <w:bottom w:w="15" w:type="dxa"/>
            <w:right w:w="15" w:type="dxa"/>
          </w:tblCellMar>
        </w:tblPrEx>
        <w:trPr>
          <w:jc w:val="center"/>
        </w:trPr>
        <w:tc>
          <w:tcPr>
            <w:tcW w:w="0" w:type="auto"/>
            <w:gridSpan w:val="3"/>
            <w:vMerge w:val="continue"/>
            <w:tcBorders>
              <w:top w:val="single" w:color="auto" w:sz="8" w:space="0"/>
              <w:left w:val="single" w:color="auto" w:sz="4" w:space="0"/>
              <w:bottom w:val="single" w:color="auto" w:sz="8" w:space="0"/>
              <w:right w:val="single" w:color="auto" w:sz="4" w:space="0"/>
            </w:tcBorders>
            <w:vAlign w:val="center"/>
          </w:tcPr>
          <w:p>
            <w:pPr>
              <w:widowControl/>
              <w:jc w:val="left"/>
              <w:rPr>
                <w:rFonts w:ascii="宋体" w:hAnsi="宋体" w:cs="宋体"/>
                <w:color w:val="000000"/>
                <w:kern w:val="0"/>
                <w:sz w:val="24"/>
                <w:szCs w:val="24"/>
              </w:rPr>
            </w:pPr>
          </w:p>
        </w:tc>
        <w:tc>
          <w:tcPr>
            <w:tcW w:w="825" w:type="dxa"/>
            <w:vMerge w:val="restart"/>
            <w:tcBorders>
              <w:top w:val="single" w:color="auto" w:sz="4"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自然人</w:t>
            </w:r>
          </w:p>
        </w:tc>
        <w:tc>
          <w:tcPr>
            <w:tcW w:w="4065" w:type="dxa"/>
            <w:gridSpan w:val="5"/>
            <w:tcBorders>
              <w:top w:val="single" w:color="auto" w:sz="8"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法人或其他组织</w:t>
            </w:r>
          </w:p>
        </w:tc>
        <w:tc>
          <w:tcPr>
            <w:tcW w:w="702" w:type="dxa"/>
            <w:vMerge w:val="restart"/>
            <w:tcBorders>
              <w:top w:val="single" w:color="auto" w:sz="8"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r>
      <w:tr>
        <w:tblPrEx>
          <w:tblCellMar>
            <w:top w:w="15" w:type="dxa"/>
            <w:left w:w="15" w:type="dxa"/>
            <w:bottom w:w="15" w:type="dxa"/>
            <w:right w:w="15" w:type="dxa"/>
          </w:tblCellMar>
        </w:tblPrEx>
        <w:trPr>
          <w:jc w:val="center"/>
        </w:trPr>
        <w:tc>
          <w:tcPr>
            <w:tcW w:w="0" w:type="auto"/>
            <w:gridSpan w:val="3"/>
            <w:vMerge w:val="continue"/>
            <w:tcBorders>
              <w:top w:val="single" w:color="auto" w:sz="8"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765" w:type="dxa"/>
            <w:tcBorders>
              <w:top w:val="single" w:color="auto" w:sz="4" w:space="0"/>
              <w:left w:val="single" w:color="auto" w:sz="4" w:space="0"/>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商业企业</w:t>
            </w:r>
          </w:p>
        </w:tc>
        <w:tc>
          <w:tcPr>
            <w:tcW w:w="765" w:type="dxa"/>
            <w:tcBorders>
              <w:top w:val="single" w:color="auto" w:sz="4" w:space="0"/>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科研机构</w:t>
            </w:r>
          </w:p>
        </w:tc>
        <w:tc>
          <w:tcPr>
            <w:tcW w:w="825" w:type="dxa"/>
            <w:tcBorders>
              <w:top w:val="single" w:color="auto" w:sz="4" w:space="0"/>
              <w:left w:val="nil"/>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社会公益组织</w:t>
            </w:r>
          </w:p>
        </w:tc>
        <w:tc>
          <w:tcPr>
            <w:tcW w:w="990" w:type="dxa"/>
            <w:tcBorders>
              <w:top w:val="single" w:color="auto" w:sz="8"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法律服务机构</w:t>
            </w:r>
          </w:p>
        </w:tc>
        <w:tc>
          <w:tcPr>
            <w:tcW w:w="720"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r>
      <w:tr>
        <w:tblPrEx>
          <w:tblCellMar>
            <w:top w:w="15" w:type="dxa"/>
            <w:left w:w="15" w:type="dxa"/>
            <w:bottom w:w="15" w:type="dxa"/>
            <w:right w:w="15" w:type="dxa"/>
          </w:tblCellMar>
        </w:tblPrEx>
        <w:trPr>
          <w:jc w:val="center"/>
        </w:trPr>
        <w:tc>
          <w:tcPr>
            <w:tcW w:w="3479" w:type="dxa"/>
            <w:gridSpan w:val="3"/>
            <w:tcBorders>
              <w:top w:val="single" w:color="auto" w:sz="4" w:space="0"/>
              <w:left w:val="single" w:color="auto" w:sz="8"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一、本年新收政府信息公开申请数量</w:t>
            </w:r>
          </w:p>
        </w:tc>
        <w:tc>
          <w:tcPr>
            <w:tcW w:w="825" w:type="dxa"/>
            <w:tcBorders>
              <w:top w:val="single" w:color="auto" w:sz="4" w:space="0"/>
              <w:left w:val="single" w:color="auto" w:sz="4" w:space="0"/>
              <w:bottom w:val="single" w:color="auto" w:sz="8"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19</w:t>
            </w:r>
          </w:p>
        </w:tc>
        <w:tc>
          <w:tcPr>
            <w:tcW w:w="765" w:type="dxa"/>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19</w:t>
            </w:r>
          </w:p>
        </w:tc>
      </w:tr>
      <w:tr>
        <w:tblPrEx>
          <w:tblCellMar>
            <w:top w:w="15" w:type="dxa"/>
            <w:left w:w="15" w:type="dxa"/>
            <w:bottom w:w="15" w:type="dxa"/>
            <w:right w:w="15" w:type="dxa"/>
          </w:tblCellMar>
        </w:tblPrEx>
        <w:trPr>
          <w:jc w:val="center"/>
        </w:trPr>
        <w:tc>
          <w:tcPr>
            <w:tcW w:w="3479" w:type="dxa"/>
            <w:gridSpan w:val="3"/>
            <w:tcBorders>
              <w:top w:val="nil"/>
              <w:left w:val="single" w:color="auto" w:sz="8"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二、上年结转政府信息公开申请数量</w:t>
            </w:r>
          </w:p>
        </w:tc>
        <w:tc>
          <w:tcPr>
            <w:tcW w:w="825" w:type="dxa"/>
            <w:tcBorders>
              <w:top w:val="nil"/>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c>
          <w:tcPr>
            <w:tcW w:w="76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r>
      <w:tr>
        <w:tblPrEx>
          <w:tblCellMar>
            <w:top w:w="15" w:type="dxa"/>
            <w:left w:w="15" w:type="dxa"/>
            <w:bottom w:w="15" w:type="dxa"/>
            <w:right w:w="15" w:type="dxa"/>
          </w:tblCellMar>
        </w:tblPrEx>
        <w:trPr>
          <w:jc w:val="center"/>
        </w:trPr>
        <w:tc>
          <w:tcPr>
            <w:tcW w:w="494"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三、本年度办理结果</w:t>
            </w:r>
          </w:p>
        </w:tc>
        <w:tc>
          <w:tcPr>
            <w:tcW w:w="2985" w:type="dxa"/>
            <w:gridSpan w:val="2"/>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（一）予以公开</w:t>
            </w:r>
          </w:p>
        </w:tc>
        <w:tc>
          <w:tcPr>
            <w:tcW w:w="825" w:type="dxa"/>
            <w:tcBorders>
              <w:top w:val="single" w:color="auto" w:sz="4"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9</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9</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985" w:type="dxa"/>
            <w:gridSpan w:val="2"/>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（二）部分公开（区分处理的，只计这一情形，不计其他情形）</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（三）不予公开</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1.属于国家秘密</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2.其他法律行政法规禁止公开</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3.危及“三安全一稳定”</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4.保护第三方合法权益</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5.属于三类内部事务信息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6.属于四类过程性信息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7.属于行政执法案卷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val="en-US" w:eastAsia="zh-CN"/>
              </w:rPr>
            </w:pPr>
            <w:r>
              <w:rPr>
                <w:rFonts w:hint="eastAsia"/>
                <w:color w:val="000000"/>
                <w:kern w:val="0"/>
                <w:sz w:val="20"/>
                <w:szCs w:val="20"/>
                <w:lang w:val="en-US" w:eastAsia="zh-CN"/>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eastAsia="zh-CN"/>
              </w:rPr>
            </w:pPr>
            <w:r>
              <w:rPr>
                <w:rFonts w:hint="eastAsia"/>
                <w:color w:val="000000"/>
                <w:kern w:val="0"/>
                <w:sz w:val="20"/>
                <w:szCs w:val="20"/>
                <w:lang w:val="en-US" w:eastAsia="zh-CN"/>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8.属于行政查询事项</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（四）无法提供</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1.本机关不掌握相关政府信息</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eastAsia="zh-CN"/>
              </w:rPr>
            </w:pPr>
            <w:r>
              <w:rPr>
                <w:rFonts w:hint="eastAsia"/>
                <w:color w:val="000000"/>
                <w:kern w:val="0"/>
                <w:sz w:val="20"/>
                <w:szCs w:val="20"/>
                <w:lang w:val="en-US" w:eastAsia="zh-CN"/>
              </w:rPr>
              <w:t>5</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ascii="宋体" w:hAnsi="宋体" w:eastAsia="宋体" w:cs="宋体"/>
                <w:color w:val="000000"/>
                <w:kern w:val="0"/>
                <w:sz w:val="24"/>
                <w:szCs w:val="24"/>
                <w:lang w:eastAsia="zh-CN"/>
              </w:rPr>
            </w:pPr>
            <w:r>
              <w:rPr>
                <w:rFonts w:hint="eastAsia"/>
                <w:color w:val="000000"/>
                <w:kern w:val="0"/>
                <w:sz w:val="20"/>
                <w:szCs w:val="20"/>
                <w:lang w:val="en-US" w:eastAsia="zh-CN"/>
              </w:rPr>
              <w:t>5</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2.没有现成信息需要另行制作</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3.补正后申请内容仍不明确</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855"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（五）不予处理</w:t>
            </w: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1.信访举报投诉类申请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2.重复申请</w:t>
            </w:r>
          </w:p>
        </w:tc>
        <w:tc>
          <w:tcPr>
            <w:tcW w:w="825" w:type="dxa"/>
            <w:tcBorders>
              <w:top w:val="nil"/>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3.要求提供公开出版物</w:t>
            </w:r>
          </w:p>
        </w:tc>
        <w:tc>
          <w:tcPr>
            <w:tcW w:w="825" w:type="dxa"/>
            <w:tcBorders>
              <w:top w:val="nil"/>
              <w:left w:val="single" w:color="auto" w:sz="4" w:space="0"/>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4"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4.无正当理由大量反复申请</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2</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2</w:t>
            </w:r>
          </w:p>
        </w:tc>
      </w:tr>
      <w:tr>
        <w:tblPrEx>
          <w:tblCellMar>
            <w:top w:w="15" w:type="dxa"/>
            <w:left w:w="15" w:type="dxa"/>
            <w:bottom w:w="15" w:type="dxa"/>
            <w:right w:w="15" w:type="dxa"/>
          </w:tblCellMar>
        </w:tblPrEx>
        <w:trPr>
          <w:jc w:val="center"/>
        </w:trPr>
        <w:tc>
          <w:tcPr>
            <w:tcW w:w="0" w:type="auto"/>
            <w:vMerge w:val="continue"/>
            <w:tcBorders>
              <w:top w:val="single" w:color="auto" w:sz="4" w:space="0"/>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4" w:space="0"/>
              <w:left w:val="nil"/>
              <w:bottom w:val="single" w:color="auto" w:sz="8" w:space="0"/>
              <w:right w:val="single" w:color="auto" w:sz="4" w:space="0"/>
            </w:tcBorders>
            <w:vAlign w:val="center"/>
          </w:tcPr>
          <w:p>
            <w:pPr>
              <w:widowControl/>
              <w:jc w:val="left"/>
              <w:rPr>
                <w:rFonts w:ascii="宋体" w:hAnsi="宋体" w:cs="宋体"/>
                <w:color w:val="000000"/>
                <w:kern w:val="0"/>
                <w:sz w:val="24"/>
                <w:szCs w:val="24"/>
              </w:rPr>
            </w:pPr>
          </w:p>
        </w:tc>
        <w:tc>
          <w:tcPr>
            <w:tcW w:w="213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5.要求行政机关确认或重新出具已获取信息</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single" w:color="auto" w:sz="4" w:space="0"/>
              <w:left w:val="single" w:color="auto" w:sz="4" w:space="0"/>
              <w:bottom w:val="single" w:color="auto" w:sz="4" w:space="0"/>
              <w:right w:val="single" w:color="auto" w:sz="4"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2985"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（六）其他处理</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4"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2985"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楷体" w:hAnsi="楷体" w:eastAsia="楷体" w:cs="宋体"/>
                <w:color w:val="000000"/>
                <w:kern w:val="0"/>
                <w:sz w:val="20"/>
                <w:szCs w:val="20"/>
              </w:rPr>
              <w:t>（七）总计</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19</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19</w:t>
            </w:r>
          </w:p>
        </w:tc>
      </w:tr>
      <w:tr>
        <w:tblPrEx>
          <w:tblCellMar>
            <w:top w:w="15" w:type="dxa"/>
            <w:left w:w="15" w:type="dxa"/>
            <w:bottom w:w="15" w:type="dxa"/>
            <w:right w:w="15"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left"/>
              <w:rPr>
                <w:rFonts w:ascii="宋体" w:hAnsi="宋体" w:cs="宋体"/>
                <w:color w:val="000000"/>
                <w:kern w:val="0"/>
                <w:sz w:val="24"/>
                <w:szCs w:val="24"/>
              </w:rPr>
            </w:pPr>
            <w:r>
              <w:rPr>
                <w:rFonts w:hint="eastAsia" w:ascii="宋体" w:hAnsi="宋体" w:cs="宋体"/>
                <w:color w:val="000000"/>
                <w:kern w:val="0"/>
                <w:sz w:val="20"/>
                <w:szCs w:val="20"/>
              </w:rPr>
              <w:t>四、结转下年度继续办理</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82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99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2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0</w:t>
            </w:r>
          </w:p>
        </w:tc>
        <w:tc>
          <w:tcPr>
            <w:tcW w:w="70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color w:val="000000"/>
                <w:kern w:val="0"/>
                <w:sz w:val="20"/>
                <w:szCs w:val="20"/>
              </w:rPr>
              <w:t>1</w:t>
            </w:r>
          </w:p>
        </w:tc>
      </w:tr>
    </w:tbl>
    <w:p>
      <w:pPr>
        <w:widowControl/>
        <w:ind w:firstLine="480"/>
        <w:rPr>
          <w:rFonts w:ascii="黑体" w:hAnsi="黑体" w:eastAsia="黑体" w:cs="黑体"/>
          <w:sz w:val="32"/>
          <w:szCs w:val="32"/>
        </w:rPr>
      </w:pPr>
    </w:p>
    <w:p>
      <w:pPr>
        <w:widowControl/>
        <w:ind w:firstLine="480"/>
        <w:rPr>
          <w:rFonts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6"/>
        <w:tblW w:w="9071" w:type="dxa"/>
        <w:jc w:val="center"/>
        <w:tblLayout w:type="autofit"/>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15" w:type="dxa"/>
            <w:left w:w="15" w:type="dxa"/>
            <w:bottom w:w="15" w:type="dxa"/>
            <w:right w:w="15"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行政诉讼</w:t>
            </w:r>
          </w:p>
        </w:tc>
      </w:tr>
      <w:tr>
        <w:tblPrEx>
          <w:tblCellMar>
            <w:top w:w="15" w:type="dxa"/>
            <w:left w:w="15" w:type="dxa"/>
            <w:bottom w:w="15" w:type="dxa"/>
            <w:right w:w="15"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4"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c>
          <w:tcPr>
            <w:tcW w:w="2970"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复议后起诉</w:t>
            </w:r>
          </w:p>
        </w:tc>
      </w:tr>
      <w:tr>
        <w:tblPrEx>
          <w:tblCellMar>
            <w:top w:w="15" w:type="dxa"/>
            <w:left w:w="15" w:type="dxa"/>
            <w:bottom w:w="15" w:type="dxa"/>
            <w:right w:w="15"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24"/>
                <w:szCs w:val="24"/>
              </w:rPr>
            </w:pP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0"/>
                <w:szCs w:val="20"/>
              </w:rPr>
              <w:t>总计</w:t>
            </w:r>
          </w:p>
        </w:tc>
      </w:tr>
      <w:tr>
        <w:tblPrEx>
          <w:tblCellMar>
            <w:top w:w="15" w:type="dxa"/>
            <w:left w:w="15" w:type="dxa"/>
            <w:bottom w:w="15" w:type="dxa"/>
            <w:right w:w="15"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rPr>
            </w:pPr>
            <w:r>
              <w:rPr>
                <w:rFonts w:hint="eastAsia"/>
                <w:color w:val="000000"/>
                <w:kern w:val="0"/>
                <w:sz w:val="20"/>
                <w:szCs w:val="20"/>
                <w:lang w:val="en-US" w:eastAsia="zh-CN"/>
              </w:rPr>
              <w:t>0</w:t>
            </w:r>
            <w:r>
              <w:rPr>
                <w:rFonts w:hint="eastAsia"/>
                <w:color w:val="000000"/>
                <w:kern w:val="0"/>
                <w:sz w:val="20"/>
                <w:szCs w:val="20"/>
              </w:rPr>
              <w:t> </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7</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658"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rPr>
            </w:pPr>
            <w:r>
              <w:rPr>
                <w:rFonts w:hint="eastAsia"/>
                <w:color w:val="000000"/>
                <w:kern w:val="0"/>
                <w:sz w:val="20"/>
                <w:szCs w:val="20"/>
              </w:rPr>
              <w:t>1</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rPr>
            </w:pPr>
            <w:r>
              <w:rPr>
                <w:rFonts w:hint="eastAsia"/>
                <w:color w:val="000000"/>
                <w:kern w:val="0"/>
                <w:sz w:val="20"/>
                <w:szCs w:val="20"/>
              </w:rPr>
              <w:t>1</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rPr>
            </w:pPr>
            <w:r>
              <w:rPr>
                <w:rFonts w:hint="eastAsia"/>
                <w:color w:val="000000"/>
                <w:kern w:val="0"/>
                <w:sz w:val="20"/>
                <w:szCs w:val="20"/>
                <w:lang w:val="en-US" w:eastAsia="zh-CN"/>
              </w:rPr>
              <w:t>0</w:t>
            </w:r>
            <w:r>
              <w:rPr>
                <w:rFonts w:hint="eastAsia"/>
                <w:color w:val="000000"/>
                <w:kern w:val="0"/>
                <w:sz w:val="20"/>
                <w:szCs w:val="20"/>
              </w:rPr>
              <w:t>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rPr>
              <w:t> </w:t>
            </w:r>
            <w:r>
              <w:rPr>
                <w:rFonts w:hint="eastAsia"/>
                <w:color w:val="000000"/>
                <w:kern w:val="0"/>
                <w:sz w:val="20"/>
                <w:szCs w:val="20"/>
                <w:lang w:val="en-US" w:eastAsia="zh-CN"/>
              </w:rPr>
              <w:t>0</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widowControl/>
              <w:jc w:val="center"/>
              <w:rPr>
                <w:rFonts w:hint="eastAsia"/>
                <w:color w:val="000000"/>
                <w:kern w:val="0"/>
                <w:sz w:val="20"/>
                <w:szCs w:val="20"/>
                <w:lang w:val="en-US" w:eastAsia="zh-CN"/>
              </w:rPr>
            </w:pPr>
            <w:r>
              <w:rPr>
                <w:rFonts w:hint="eastAsia"/>
                <w:color w:val="000000"/>
                <w:kern w:val="0"/>
                <w:sz w:val="20"/>
                <w:szCs w:val="20"/>
                <w:lang w:val="en-US" w:eastAsia="zh-CN"/>
              </w:rPr>
              <w:t>0</w:t>
            </w:r>
          </w:p>
        </w:tc>
      </w:tr>
    </w:tbl>
    <w:p>
      <w:pPr>
        <w:widowControl/>
        <w:autoSpaceDE w:val="0"/>
        <w:spacing w:line="560" w:lineRule="exact"/>
        <w:rPr>
          <w:rFonts w:ascii="黑体" w:hAnsi="黑体" w:eastAsia="黑体" w:cs="黑体"/>
          <w:sz w:val="32"/>
          <w:szCs w:val="32"/>
        </w:rPr>
      </w:pPr>
    </w:p>
    <w:p>
      <w:pPr>
        <w:widowControl/>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五、存在的主要问题及改进情况</w:t>
      </w:r>
    </w:p>
    <w:p>
      <w:pPr>
        <w:autoSpaceDE w:val="0"/>
        <w:spacing w:line="560" w:lineRule="exact"/>
        <w:ind w:firstLine="640" w:firstLineChars="200"/>
        <w:rPr>
          <w:rFonts w:ascii="仿宋_GB2312" w:eastAsia="仿宋_GB2312" w:cs="仿宋_GB2312"/>
          <w:color w:val="404040"/>
          <w:sz w:val="32"/>
          <w:szCs w:val="32"/>
          <w:lang w:bidi="ar"/>
        </w:rPr>
      </w:pPr>
      <w:r>
        <w:rPr>
          <w:rFonts w:ascii="仿宋_GB2312" w:eastAsia="仿宋_GB2312" w:cs="仿宋_GB2312"/>
          <w:color w:val="404040"/>
          <w:sz w:val="32"/>
          <w:szCs w:val="32"/>
          <w:lang w:bidi="ar"/>
        </w:rPr>
        <w:t>今年我委信息公开工作有了长足的进步，但与社会公众对政府信息公开透明的需求相比</w:t>
      </w:r>
      <w:r>
        <w:rPr>
          <w:rFonts w:hint="eastAsia" w:ascii="仿宋_GB2312" w:eastAsia="仿宋_GB2312" w:cs="仿宋_GB2312"/>
          <w:color w:val="404040"/>
          <w:sz w:val="32"/>
          <w:szCs w:val="32"/>
          <w:lang w:bidi="ar"/>
        </w:rPr>
        <w:t>，仍然存在诸多需要改进和加强的方面。主要表现在：</w:t>
      </w:r>
    </w:p>
    <w:p>
      <w:pPr>
        <w:numPr>
          <w:ilvl w:val="0"/>
          <w:numId w:val="3"/>
        </w:numPr>
        <w:autoSpaceDE w:val="0"/>
        <w:spacing w:line="560" w:lineRule="exact"/>
        <w:ind w:firstLine="640" w:firstLineChars="200"/>
        <w:rPr>
          <w:rFonts w:ascii="仿宋_GB2312" w:eastAsia="仿宋_GB2312" w:cs="仿宋_GB2312"/>
          <w:color w:val="404040"/>
          <w:sz w:val="32"/>
          <w:szCs w:val="32"/>
          <w:lang w:bidi="ar"/>
        </w:rPr>
      </w:pPr>
      <w:r>
        <w:rPr>
          <w:rFonts w:hint="eastAsia" w:ascii="楷体_GB2312" w:hAnsi="楷体_GB2312" w:eastAsia="楷体_GB2312" w:cs="楷体_GB2312"/>
          <w:color w:val="404040"/>
          <w:sz w:val="32"/>
          <w:szCs w:val="32"/>
          <w:lang w:bidi="ar"/>
        </w:rPr>
        <w:t>信息公开队伍方面。</w:t>
      </w:r>
      <w:r>
        <w:rPr>
          <w:rFonts w:hint="eastAsia" w:ascii="仿宋_GB2312" w:eastAsia="仿宋_GB2312" w:cs="仿宋_GB2312"/>
          <w:color w:val="404040"/>
          <w:sz w:val="32"/>
          <w:szCs w:val="32"/>
          <w:lang w:bidi="ar"/>
        </w:rPr>
        <w:t>政府信息公开工作队伍相对薄弱。现有的政府信息公开工作队伍与日益繁重的信息公开任务不相适应，目前尚依托我委法制宣传科开展工作，无专职工作人员，仅有1名兼职工作人员承担该项工作，一定程度上影响信息公开的效率。改进措施：加强信息公开工作队伍建设，逐步设立专职信息公开工作人员，以提高我委政府信息公开工作效率。</w:t>
      </w:r>
    </w:p>
    <w:p>
      <w:pPr>
        <w:autoSpaceDE w:val="0"/>
        <w:spacing w:line="560" w:lineRule="exact"/>
        <w:ind w:firstLine="640" w:firstLineChars="200"/>
        <w:rPr>
          <w:rFonts w:ascii="新宋体" w:hAnsi="新宋体" w:eastAsia="新宋体" w:cs="新宋体"/>
          <w:sz w:val="24"/>
          <w:szCs w:val="24"/>
        </w:rPr>
      </w:pPr>
      <w:r>
        <w:rPr>
          <w:rFonts w:hint="eastAsia" w:ascii="楷体_GB2312" w:hAnsi="楷体_GB2312" w:eastAsia="楷体_GB2312" w:cs="楷体_GB2312"/>
          <w:color w:val="404040"/>
          <w:sz w:val="32"/>
          <w:szCs w:val="32"/>
          <w:lang w:bidi="ar"/>
        </w:rPr>
        <w:t>（二）信息公开业务水平方面。</w:t>
      </w:r>
      <w:r>
        <w:rPr>
          <w:rFonts w:hint="eastAsia" w:ascii="仿宋_GB2312" w:hAnsi="仿宋" w:eastAsia="仿宋_GB2312" w:cs="宋体"/>
          <w:kern w:val="0"/>
          <w:sz w:val="32"/>
          <w:szCs w:val="32"/>
        </w:rPr>
        <w:t>对新修订颁布的《中华人民共和国政府信息公开条例》学习</w:t>
      </w:r>
      <w:r>
        <w:rPr>
          <w:rFonts w:ascii="仿宋_GB2312" w:eastAsia="仿宋_GB2312" w:cs="仿宋_GB2312"/>
          <w:color w:val="404040"/>
          <w:sz w:val="32"/>
          <w:szCs w:val="32"/>
          <w:lang w:bidi="ar"/>
        </w:rPr>
        <w:t>不够</w:t>
      </w:r>
      <w:r>
        <w:rPr>
          <w:rFonts w:hint="eastAsia" w:ascii="仿宋_GB2312" w:eastAsia="仿宋_GB2312" w:cs="仿宋_GB2312"/>
          <w:color w:val="404040"/>
          <w:sz w:val="32"/>
          <w:szCs w:val="32"/>
          <w:lang w:bidi="ar"/>
        </w:rPr>
        <w:t>全面</w:t>
      </w:r>
      <w:r>
        <w:rPr>
          <w:rFonts w:ascii="仿宋_GB2312" w:eastAsia="仿宋_GB2312" w:cs="仿宋_GB2312"/>
          <w:color w:val="404040"/>
          <w:sz w:val="32"/>
          <w:szCs w:val="32"/>
          <w:lang w:bidi="ar"/>
        </w:rPr>
        <w:t>，对法律法规尺度掌握不够精准</w:t>
      </w:r>
      <w:r>
        <w:rPr>
          <w:rFonts w:hint="eastAsia" w:ascii="仿宋_GB2312" w:eastAsia="仿宋_GB2312" w:cs="仿宋_GB2312"/>
          <w:color w:val="404040"/>
          <w:sz w:val="32"/>
          <w:szCs w:val="32"/>
          <w:lang w:bidi="ar"/>
        </w:rPr>
        <w:t>。改进措施：</w:t>
      </w:r>
      <w:r>
        <w:rPr>
          <w:rFonts w:ascii="仿宋_GB2312" w:eastAsia="仿宋_GB2312" w:cs="仿宋_GB2312"/>
          <w:color w:val="404040"/>
          <w:sz w:val="32"/>
          <w:szCs w:val="32"/>
          <w:lang w:bidi="ar"/>
        </w:rPr>
        <w:t>一是加强对《条例》、《规定》的学习和理解。利用主任办公会、机关全体会等时机，继续安排法律顾问</w:t>
      </w:r>
      <w:r>
        <w:rPr>
          <w:rFonts w:hint="eastAsia" w:ascii="仿宋_GB2312" w:eastAsia="仿宋_GB2312" w:cs="仿宋_GB2312"/>
          <w:color w:val="404040"/>
          <w:sz w:val="32"/>
          <w:szCs w:val="32"/>
          <w:lang w:bidi="ar"/>
        </w:rPr>
        <w:t>为</w:t>
      </w:r>
      <w:r>
        <w:rPr>
          <w:rFonts w:ascii="仿宋_GB2312" w:eastAsia="仿宋_GB2312" w:cs="仿宋_GB2312"/>
          <w:color w:val="404040"/>
          <w:sz w:val="32"/>
          <w:szCs w:val="32"/>
          <w:lang w:bidi="ar"/>
        </w:rPr>
        <w:t>大家解读《条例》、《规定》的主要内容，并结合案例讲解如何预防实际工作中容易出现的一些问题。</w:t>
      </w:r>
      <w:r>
        <w:rPr>
          <w:rFonts w:hint="eastAsia" w:ascii="仿宋_GB2312" w:eastAsia="仿宋_GB2312" w:cs="仿宋_GB2312"/>
          <w:color w:val="404040"/>
          <w:sz w:val="32"/>
          <w:szCs w:val="32"/>
          <w:lang w:bidi="ar"/>
        </w:rPr>
        <w:t>同时严格按照要求，</w:t>
      </w:r>
      <w:r>
        <w:rPr>
          <w:rFonts w:ascii="仿宋_GB2312" w:eastAsia="仿宋_GB2312" w:cs="仿宋_GB2312"/>
          <w:color w:val="404040"/>
          <w:sz w:val="32"/>
          <w:szCs w:val="32"/>
          <w:lang w:bidi="ar"/>
        </w:rPr>
        <w:t>积极参加市区组织的各项培训，提高业务技能。</w:t>
      </w:r>
    </w:p>
    <w:p>
      <w:pPr>
        <w:widowControl/>
        <w:spacing w:line="560" w:lineRule="exact"/>
        <w:ind w:firstLine="480"/>
        <w:rPr>
          <w:rFonts w:ascii="黑体" w:hAnsi="黑体" w:eastAsia="黑体" w:cs="黑体"/>
          <w:color w:val="000000"/>
          <w:kern w:val="0"/>
          <w:sz w:val="32"/>
          <w:szCs w:val="32"/>
        </w:rPr>
      </w:pPr>
      <w:r>
        <w:rPr>
          <w:rFonts w:hint="eastAsia" w:ascii="黑体" w:hAnsi="黑体" w:eastAsia="黑体" w:cs="黑体"/>
          <w:sz w:val="32"/>
          <w:szCs w:val="32"/>
        </w:rPr>
        <w:t xml:space="preserve"> 六、</w:t>
      </w:r>
      <w:r>
        <w:rPr>
          <w:rFonts w:hint="eastAsia" w:ascii="黑体" w:hAnsi="黑体" w:eastAsia="黑体" w:cs="黑体"/>
          <w:color w:val="000000"/>
          <w:kern w:val="0"/>
          <w:sz w:val="32"/>
          <w:szCs w:val="32"/>
        </w:rPr>
        <w:t>其他需要报告的事项</w:t>
      </w:r>
    </w:p>
    <w:p>
      <w:pPr>
        <w:autoSpaceDE w:val="0"/>
        <w:spacing w:line="560" w:lineRule="exact"/>
        <w:ind w:firstLine="640" w:firstLineChars="200"/>
        <w:rPr>
          <w:rFonts w:ascii="仿宋_GB2312" w:eastAsia="仿宋_GB2312" w:cs="仿宋_GB2312"/>
          <w:color w:val="404040"/>
          <w:sz w:val="32"/>
          <w:szCs w:val="32"/>
          <w:lang w:bidi="ar"/>
        </w:rPr>
      </w:pPr>
      <w:r>
        <w:rPr>
          <w:rFonts w:hint="eastAsia" w:eastAsia="仿宋_GB2312"/>
          <w:kern w:val="0"/>
          <w:sz w:val="32"/>
          <w:szCs w:val="32"/>
        </w:rPr>
        <w:t>北京市信息公开专栏丰台区城市管理委员会，网址为http://www.bjft.gov.cn/zfxxgk/ftq11GG11/ftbm_index.shtml，如需了解更多信息，请登录查询。</w:t>
      </w: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ind w:firstLine="5120" w:firstLineChars="1600"/>
        <w:rPr>
          <w:rFonts w:ascii="仿宋_GB2312" w:eastAsia="仿宋_GB2312"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B2A078"/>
    <w:multiLevelType w:val="singleLevel"/>
    <w:tmpl w:val="BBB2A078"/>
    <w:lvl w:ilvl="0" w:tentative="0">
      <w:start w:val="3"/>
      <w:numFmt w:val="chineseCounting"/>
      <w:suff w:val="nothing"/>
      <w:lvlText w:val="%1、"/>
      <w:lvlJc w:val="left"/>
      <w:rPr>
        <w:rFonts w:hint="eastAsia"/>
      </w:rPr>
    </w:lvl>
  </w:abstractNum>
  <w:abstractNum w:abstractNumId="1">
    <w:nsid w:val="C3EB3C2A"/>
    <w:multiLevelType w:val="singleLevel"/>
    <w:tmpl w:val="C3EB3C2A"/>
    <w:lvl w:ilvl="0" w:tentative="0">
      <w:start w:val="1"/>
      <w:numFmt w:val="chineseCounting"/>
      <w:suff w:val="nothing"/>
      <w:lvlText w:val="（%1）"/>
      <w:lvlJc w:val="left"/>
      <w:rPr>
        <w:rFonts w:hint="eastAsia"/>
      </w:rPr>
    </w:lvl>
  </w:abstractNum>
  <w:abstractNum w:abstractNumId="2">
    <w:nsid w:val="C60B831A"/>
    <w:multiLevelType w:val="singleLevel"/>
    <w:tmpl w:val="C60B831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F5"/>
    <w:rsid w:val="0006430B"/>
    <w:rsid w:val="00064A81"/>
    <w:rsid w:val="00096BE4"/>
    <w:rsid w:val="000C7068"/>
    <w:rsid w:val="000D7E80"/>
    <w:rsid w:val="000F0E4C"/>
    <w:rsid w:val="000F42BF"/>
    <w:rsid w:val="00101602"/>
    <w:rsid w:val="00121A99"/>
    <w:rsid w:val="00122188"/>
    <w:rsid w:val="001258D6"/>
    <w:rsid w:val="001354F5"/>
    <w:rsid w:val="00164014"/>
    <w:rsid w:val="00170476"/>
    <w:rsid w:val="00170E49"/>
    <w:rsid w:val="001A11F5"/>
    <w:rsid w:val="00202E83"/>
    <w:rsid w:val="00205427"/>
    <w:rsid w:val="00222F37"/>
    <w:rsid w:val="00223468"/>
    <w:rsid w:val="00247113"/>
    <w:rsid w:val="002758C2"/>
    <w:rsid w:val="0028768F"/>
    <w:rsid w:val="003004F7"/>
    <w:rsid w:val="00312C84"/>
    <w:rsid w:val="00324518"/>
    <w:rsid w:val="0035265B"/>
    <w:rsid w:val="003562F3"/>
    <w:rsid w:val="00366E54"/>
    <w:rsid w:val="00367B5A"/>
    <w:rsid w:val="003A4CBA"/>
    <w:rsid w:val="003C31CF"/>
    <w:rsid w:val="003F0F4C"/>
    <w:rsid w:val="003F5D7A"/>
    <w:rsid w:val="003F7594"/>
    <w:rsid w:val="00411F1B"/>
    <w:rsid w:val="00417FB3"/>
    <w:rsid w:val="0044360A"/>
    <w:rsid w:val="0044721A"/>
    <w:rsid w:val="004739AE"/>
    <w:rsid w:val="004A6C49"/>
    <w:rsid w:val="004B68E4"/>
    <w:rsid w:val="004D6005"/>
    <w:rsid w:val="004D6AFC"/>
    <w:rsid w:val="00541241"/>
    <w:rsid w:val="00582B40"/>
    <w:rsid w:val="005A6110"/>
    <w:rsid w:val="005D2190"/>
    <w:rsid w:val="00603BB6"/>
    <w:rsid w:val="00604DC4"/>
    <w:rsid w:val="00605412"/>
    <w:rsid w:val="00667B40"/>
    <w:rsid w:val="00687237"/>
    <w:rsid w:val="00694E4D"/>
    <w:rsid w:val="00696C2E"/>
    <w:rsid w:val="006B3768"/>
    <w:rsid w:val="006C5ABC"/>
    <w:rsid w:val="006F1295"/>
    <w:rsid w:val="006F5F7E"/>
    <w:rsid w:val="007415E2"/>
    <w:rsid w:val="00772478"/>
    <w:rsid w:val="00777FB7"/>
    <w:rsid w:val="00781B93"/>
    <w:rsid w:val="0079083F"/>
    <w:rsid w:val="007966B2"/>
    <w:rsid w:val="007E2239"/>
    <w:rsid w:val="007F2629"/>
    <w:rsid w:val="007F5C72"/>
    <w:rsid w:val="0080516C"/>
    <w:rsid w:val="0081211B"/>
    <w:rsid w:val="008126C4"/>
    <w:rsid w:val="00846673"/>
    <w:rsid w:val="008A0E90"/>
    <w:rsid w:val="008B4B70"/>
    <w:rsid w:val="008E6DAD"/>
    <w:rsid w:val="00944625"/>
    <w:rsid w:val="00947ABF"/>
    <w:rsid w:val="00952391"/>
    <w:rsid w:val="0096359B"/>
    <w:rsid w:val="0096428B"/>
    <w:rsid w:val="009754DB"/>
    <w:rsid w:val="009811A4"/>
    <w:rsid w:val="009869D8"/>
    <w:rsid w:val="009906AE"/>
    <w:rsid w:val="009B4AFD"/>
    <w:rsid w:val="009C12F7"/>
    <w:rsid w:val="009F3283"/>
    <w:rsid w:val="009F6C84"/>
    <w:rsid w:val="00A13ACF"/>
    <w:rsid w:val="00A13D7C"/>
    <w:rsid w:val="00A22A2D"/>
    <w:rsid w:val="00A4208E"/>
    <w:rsid w:val="00A52F63"/>
    <w:rsid w:val="00A7122C"/>
    <w:rsid w:val="00A74924"/>
    <w:rsid w:val="00A87A56"/>
    <w:rsid w:val="00AB61EC"/>
    <w:rsid w:val="00AC4B70"/>
    <w:rsid w:val="00AD10DB"/>
    <w:rsid w:val="00AD1AF5"/>
    <w:rsid w:val="00B03A69"/>
    <w:rsid w:val="00B47B43"/>
    <w:rsid w:val="00B53B02"/>
    <w:rsid w:val="00B71D8A"/>
    <w:rsid w:val="00BB4332"/>
    <w:rsid w:val="00BD2839"/>
    <w:rsid w:val="00BD7D09"/>
    <w:rsid w:val="00BE1E1E"/>
    <w:rsid w:val="00BE2BE8"/>
    <w:rsid w:val="00BE5165"/>
    <w:rsid w:val="00BE6E88"/>
    <w:rsid w:val="00C14739"/>
    <w:rsid w:val="00C35B47"/>
    <w:rsid w:val="00C40086"/>
    <w:rsid w:val="00C416CB"/>
    <w:rsid w:val="00C46011"/>
    <w:rsid w:val="00C727CF"/>
    <w:rsid w:val="00C96B5A"/>
    <w:rsid w:val="00CA3979"/>
    <w:rsid w:val="00CA77CD"/>
    <w:rsid w:val="00CB326E"/>
    <w:rsid w:val="00CB6C13"/>
    <w:rsid w:val="00CD6F52"/>
    <w:rsid w:val="00D077CE"/>
    <w:rsid w:val="00D352E6"/>
    <w:rsid w:val="00D363A8"/>
    <w:rsid w:val="00D56F3E"/>
    <w:rsid w:val="00D750D0"/>
    <w:rsid w:val="00D81F5D"/>
    <w:rsid w:val="00DB2470"/>
    <w:rsid w:val="00DC3C0C"/>
    <w:rsid w:val="00DD4E3E"/>
    <w:rsid w:val="00DF761E"/>
    <w:rsid w:val="00E241F7"/>
    <w:rsid w:val="00E47D7A"/>
    <w:rsid w:val="00E51ED1"/>
    <w:rsid w:val="00E83462"/>
    <w:rsid w:val="00E91740"/>
    <w:rsid w:val="00EA286E"/>
    <w:rsid w:val="00EA5085"/>
    <w:rsid w:val="00EB4F11"/>
    <w:rsid w:val="00ED3335"/>
    <w:rsid w:val="00EF14B7"/>
    <w:rsid w:val="00F00263"/>
    <w:rsid w:val="00F746CC"/>
    <w:rsid w:val="00F97646"/>
    <w:rsid w:val="00FA0329"/>
    <w:rsid w:val="00FD17E2"/>
    <w:rsid w:val="00FD291D"/>
    <w:rsid w:val="00FE2548"/>
    <w:rsid w:val="00FF01D8"/>
    <w:rsid w:val="00FF24E3"/>
    <w:rsid w:val="00FF2AB2"/>
    <w:rsid w:val="012272BE"/>
    <w:rsid w:val="02622838"/>
    <w:rsid w:val="04AC3F96"/>
    <w:rsid w:val="07295EA1"/>
    <w:rsid w:val="079C4B20"/>
    <w:rsid w:val="0849280A"/>
    <w:rsid w:val="0CD06AA6"/>
    <w:rsid w:val="0EBD2395"/>
    <w:rsid w:val="0FE472DF"/>
    <w:rsid w:val="14177900"/>
    <w:rsid w:val="1532600E"/>
    <w:rsid w:val="15CA3C7B"/>
    <w:rsid w:val="168D304D"/>
    <w:rsid w:val="18507BA4"/>
    <w:rsid w:val="1907466C"/>
    <w:rsid w:val="19E46A72"/>
    <w:rsid w:val="1B06798D"/>
    <w:rsid w:val="1B2C4712"/>
    <w:rsid w:val="1B8D075C"/>
    <w:rsid w:val="1BA97CF3"/>
    <w:rsid w:val="1D5178F5"/>
    <w:rsid w:val="1EDD7EAE"/>
    <w:rsid w:val="1F2C11BF"/>
    <w:rsid w:val="1F805DB5"/>
    <w:rsid w:val="217C7E51"/>
    <w:rsid w:val="236D0C3D"/>
    <w:rsid w:val="26003D9B"/>
    <w:rsid w:val="27BF1E1E"/>
    <w:rsid w:val="29B83E3D"/>
    <w:rsid w:val="29F1513F"/>
    <w:rsid w:val="301E7166"/>
    <w:rsid w:val="3068735C"/>
    <w:rsid w:val="30821AEE"/>
    <w:rsid w:val="308302A2"/>
    <w:rsid w:val="31DD3448"/>
    <w:rsid w:val="32A40D0B"/>
    <w:rsid w:val="32B9421F"/>
    <w:rsid w:val="33345598"/>
    <w:rsid w:val="346C38D7"/>
    <w:rsid w:val="364075E9"/>
    <w:rsid w:val="371B412A"/>
    <w:rsid w:val="372225F5"/>
    <w:rsid w:val="3831243F"/>
    <w:rsid w:val="3C5C5AF9"/>
    <w:rsid w:val="3E3646A7"/>
    <w:rsid w:val="41C5444B"/>
    <w:rsid w:val="4281061D"/>
    <w:rsid w:val="45932105"/>
    <w:rsid w:val="47CE3978"/>
    <w:rsid w:val="4BB5781F"/>
    <w:rsid w:val="4C266F79"/>
    <w:rsid w:val="50F70B81"/>
    <w:rsid w:val="545C2697"/>
    <w:rsid w:val="554373A3"/>
    <w:rsid w:val="59240229"/>
    <w:rsid w:val="5AEB7004"/>
    <w:rsid w:val="5B9C05D9"/>
    <w:rsid w:val="5D592451"/>
    <w:rsid w:val="5DFF6694"/>
    <w:rsid w:val="5EB35131"/>
    <w:rsid w:val="61EA0452"/>
    <w:rsid w:val="635D0A16"/>
    <w:rsid w:val="671F3B68"/>
    <w:rsid w:val="78C94614"/>
    <w:rsid w:val="78CA5431"/>
    <w:rsid w:val="7A474426"/>
    <w:rsid w:val="7E7D04E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styleId="8">
    <w:name w:val="FollowedHyperlink"/>
    <w:basedOn w:val="7"/>
    <w:semiHidden/>
    <w:unhideWhenUsed/>
    <w:qFormat/>
    <w:uiPriority w:val="99"/>
    <w:rPr>
      <w:color w:val="666666"/>
      <w:u w:val="none"/>
    </w:rPr>
  </w:style>
  <w:style w:type="character" w:styleId="9">
    <w:name w:val="Emphasis"/>
    <w:basedOn w:val="7"/>
    <w:qFormat/>
    <w:locked/>
    <w:uiPriority w:val="0"/>
    <w:rPr>
      <w:u w:val="none"/>
    </w:rPr>
  </w:style>
  <w:style w:type="character" w:styleId="10">
    <w:name w:val="Hyperlink"/>
    <w:basedOn w:val="7"/>
    <w:qFormat/>
    <w:uiPriority w:val="99"/>
    <w:rPr>
      <w:color w:val="0000FF"/>
      <w:u w:val="single"/>
    </w:rPr>
  </w:style>
  <w:style w:type="character" w:customStyle="1" w:styleId="11">
    <w:name w:val="批注框文本 Char"/>
    <w:link w:val="2"/>
    <w:semiHidden/>
    <w:qFormat/>
    <w:locked/>
    <w:uiPriority w:val="99"/>
    <w:rPr>
      <w:sz w:val="18"/>
      <w:szCs w:val="18"/>
    </w:rPr>
  </w:style>
  <w:style w:type="character" w:customStyle="1" w:styleId="12">
    <w:name w:val="页眉 Char"/>
    <w:link w:val="4"/>
    <w:qFormat/>
    <w:uiPriority w:val="99"/>
    <w:rPr>
      <w:rFonts w:cs="Calibri"/>
      <w:kern w:val="2"/>
      <w:sz w:val="18"/>
      <w:szCs w:val="18"/>
    </w:rPr>
  </w:style>
  <w:style w:type="character" w:customStyle="1" w:styleId="13">
    <w:name w:val="页脚 Char"/>
    <w:link w:val="3"/>
    <w:qFormat/>
    <w:uiPriority w:val="99"/>
    <w:rPr>
      <w:rFonts w:cs="Calibri"/>
      <w:kern w:val="2"/>
      <w:sz w:val="18"/>
      <w:szCs w:val="18"/>
    </w:rPr>
  </w:style>
  <w:style w:type="character" w:customStyle="1" w:styleId="14">
    <w:name w:val="right"/>
    <w:basedOn w:val="7"/>
    <w:qFormat/>
    <w:uiPriority w:val="0"/>
    <w:rPr>
      <w:rFonts w:ascii="微软雅黑" w:hAnsi="微软雅黑" w:eastAsia="微软雅黑" w:cs="微软雅黑"/>
      <w:sz w:val="21"/>
      <w:szCs w:val="21"/>
    </w:rPr>
  </w:style>
  <w:style w:type="character" w:customStyle="1" w:styleId="15">
    <w:name w:val="jiuc"/>
    <w:basedOn w:val="7"/>
    <w:qFormat/>
    <w:uiPriority w:val="0"/>
  </w:style>
  <w:style w:type="character" w:customStyle="1" w:styleId="16">
    <w:name w:val="right2"/>
    <w:basedOn w:val="7"/>
    <w:qFormat/>
    <w:uiPriority w:val="0"/>
    <w:rPr>
      <w:rFonts w:ascii="微软雅黑" w:hAnsi="微软雅黑" w:eastAsia="微软雅黑" w:cs="微软雅黑"/>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4295A8-E685-4183-BADA-ABD4F0758A8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553</Words>
  <Characters>3153</Characters>
  <Lines>26</Lines>
  <Paragraphs>7</Paragraphs>
  <TotalTime>263</TotalTime>
  <ScaleCrop>false</ScaleCrop>
  <LinksUpToDate>false</LinksUpToDate>
  <CharactersWithSpaces>3699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2019-02-14T08:02:00Z</dcterms:created>
  <dc:creator>zaijiantewu</dc:creator>
  <cp:lastModifiedBy>fly</cp:lastModifiedBy>
  <cp:lastPrinted>2019-12-18T04:34:00Z</cp:lastPrinted>
  <dcterms:modified xsi:type="dcterms:W3CDTF">2021-12-12T05:59:38Z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424BBF7B596E457BAE3A366A32B4272A</vt:lpwstr>
  </property>
</Properties>
</file>