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3EA00">
      <w:p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北京市丰台区城市管理委员会2025年政府信息公开工作年度报告</w:t>
      </w:r>
    </w:p>
    <w:p w14:paraId="7C6F07DC"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 w14:paraId="2C3DCA7E">
      <w:pPr>
        <w:widowControl/>
        <w:spacing w:line="560" w:lineRule="exact"/>
        <w:ind w:firstLine="672" w:firstLineChars="200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 w14:paraId="2372103A">
      <w:pPr>
        <w:widowControl/>
        <w:spacing w:line="560" w:lineRule="exact"/>
        <w:ind w:firstLine="672" w:firstLineChars="200"/>
        <w:jc w:val="left"/>
        <w:outlineLvl w:val="0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 w14:paraId="77A1A178">
      <w:pPr>
        <w:widowControl/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2025 年，丰台区城市管理委员会严格遵循《中华人民共和国政府信息公开条例》要求，扎实推进政府信息公开各项工作，构建起规范有序、高效便民的公开工作体系。</w:t>
      </w:r>
    </w:p>
    <w:p w14:paraId="35CB5F6D">
      <w:pPr>
        <w:widowControl/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健全组织架构。成立由主要领导牵头的信息公开工作领导小组，明确各科室职责分工，形成“主要领导统筹、分管领导牵头、科室具体落实、专人负责推进”的工作机制，确保各项任务落地见效。</w:t>
      </w:r>
    </w:p>
    <w:p w14:paraId="22902370">
      <w:pPr>
        <w:widowControl/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规范准确公开。主动公开方面，聚焦群众关切和重点工作，除行政许可、行政处罚等数据化呈现内容外，重点公开城市管理领域政策解读、工作动态、服务指南等信息，保障公众知情权。依申请公开工作中，规范申请接收、审查、办理、答复全流程管理，优化办理流程，提升答复质量和效率。政府信息管理上，建立健全信息梳理、分类、归档机制，确保公开信息准确规范。</w:t>
      </w:r>
    </w:p>
    <w:p w14:paraId="3F0AAF0F">
      <w:pPr>
        <w:widowControl/>
        <w:spacing w:line="560" w:lineRule="exact"/>
        <w:ind w:firstLine="640" w:firstLineChars="200"/>
        <w:outlineLvl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强化培训监督。教育培训环节，组织工作人员开展《条例》及相关业务培训，强化公开意识和业务能力。监督保障上，将信息公开工作纳入科室绩效考核，定期开展自查自纠，及时发现并整改问题，推动公开工作提质增效。</w:t>
      </w:r>
    </w:p>
    <w:p w14:paraId="68BF51F1">
      <w:pPr>
        <w:numPr>
          <w:numId w:val="0"/>
        </w:numPr>
        <w:spacing w:line="560" w:lineRule="exact"/>
        <w:ind w:left="630" w:leftChars="0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 w14:paraId="5A7C3D2E">
      <w:pPr>
        <w:pStyle w:val="2"/>
        <w:spacing w:line="560" w:lineRule="exact"/>
      </w:pPr>
    </w:p>
    <w:tbl>
      <w:tblPr>
        <w:tblStyle w:val="5"/>
        <w:tblW w:w="9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61800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Mar>
              <w:left w:w="57" w:type="dxa"/>
              <w:right w:w="57" w:type="dxa"/>
            </w:tcMar>
            <w:vAlign w:val="center"/>
          </w:tcPr>
          <w:p w14:paraId="3C1D27EE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4C103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5104B20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1A09330B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2A8AD4C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5281CBA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14:paraId="2276E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1A79524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3DB1D29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16B663E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2F68496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 w14:paraId="666C0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4C7B779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385F601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7E65398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710C1BD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 w14:paraId="00067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Mar>
              <w:left w:w="57" w:type="dxa"/>
              <w:right w:w="57" w:type="dxa"/>
            </w:tcMar>
            <w:vAlign w:val="center"/>
          </w:tcPr>
          <w:p w14:paraId="1C6D1E0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60BCB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201E469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Mar>
              <w:left w:w="57" w:type="dxa"/>
              <w:right w:w="57" w:type="dxa"/>
            </w:tcMar>
            <w:vAlign w:val="center"/>
          </w:tcPr>
          <w:p w14:paraId="1A43C65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1699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65DAA6B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Mar>
              <w:left w:w="57" w:type="dxa"/>
              <w:right w:w="57" w:type="dxa"/>
            </w:tcMar>
            <w:vAlign w:val="center"/>
          </w:tcPr>
          <w:p w14:paraId="6F03481C">
            <w:pPr>
              <w:widowControl/>
              <w:spacing w:line="560" w:lineRule="exact"/>
              <w:jc w:val="left"/>
            </w:pPr>
            <w:r>
              <w:rPr>
                <w:rFonts w:hint="eastAsia" w:ascii="Calibri" w:hAnsi="Calibri" w:cs="Calibri"/>
                <w:kern w:val="0"/>
                <w:szCs w:val="21"/>
                <w:lang w:bidi="ar"/>
              </w:rPr>
              <w:t>15</w:t>
            </w:r>
          </w:p>
        </w:tc>
      </w:tr>
      <w:tr w14:paraId="1F9C6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Mar>
              <w:left w:w="57" w:type="dxa"/>
              <w:right w:w="57" w:type="dxa"/>
            </w:tcMar>
            <w:vAlign w:val="center"/>
          </w:tcPr>
          <w:p w14:paraId="2C11D01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36885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6400C69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Mar>
              <w:left w:w="57" w:type="dxa"/>
              <w:right w:w="57" w:type="dxa"/>
            </w:tcMar>
            <w:vAlign w:val="center"/>
          </w:tcPr>
          <w:p w14:paraId="0AB5B68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426A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4FC8530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Mar>
              <w:left w:w="57" w:type="dxa"/>
              <w:right w:w="57" w:type="dxa"/>
            </w:tcMar>
            <w:vAlign w:val="center"/>
          </w:tcPr>
          <w:p w14:paraId="6AD976D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218</w:t>
            </w:r>
          </w:p>
        </w:tc>
      </w:tr>
      <w:tr w14:paraId="3FC4A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64109E5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Mar>
              <w:left w:w="57" w:type="dxa"/>
              <w:right w:w="57" w:type="dxa"/>
            </w:tcMar>
            <w:vAlign w:val="center"/>
          </w:tcPr>
          <w:p w14:paraId="6ED0FB0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B50A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Mar>
              <w:left w:w="57" w:type="dxa"/>
              <w:right w:w="57" w:type="dxa"/>
            </w:tcMar>
            <w:vAlign w:val="center"/>
          </w:tcPr>
          <w:p w14:paraId="435DC83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7811D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0EA790B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Mar>
              <w:left w:w="57" w:type="dxa"/>
              <w:right w:w="57" w:type="dxa"/>
            </w:tcMar>
            <w:vAlign w:val="center"/>
          </w:tcPr>
          <w:p w14:paraId="1B20F2C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594EE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Mar>
              <w:left w:w="57" w:type="dxa"/>
              <w:right w:w="57" w:type="dxa"/>
            </w:tcMar>
            <w:vAlign w:val="center"/>
          </w:tcPr>
          <w:p w14:paraId="57B69664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Mar>
              <w:left w:w="57" w:type="dxa"/>
              <w:right w:w="57" w:type="dxa"/>
            </w:tcMar>
            <w:vAlign w:val="center"/>
          </w:tcPr>
          <w:p w14:paraId="510C2DD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</w:tr>
    </w:tbl>
    <w:p w14:paraId="79ADFAF3">
      <w:pPr>
        <w:pStyle w:val="2"/>
        <w:spacing w:line="560" w:lineRule="exact"/>
      </w:pPr>
    </w:p>
    <w:p w14:paraId="1507878D">
      <w:pPr>
        <w:numPr>
          <w:numId w:val="0"/>
        </w:numPr>
        <w:spacing w:line="560" w:lineRule="exact"/>
        <w:ind w:left="630" w:leftChars="0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 w14:paraId="6FAD068B"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ascii="宋体" w:hAnsi="宋体" w:cs="宋体"/>
          <w:color w:val="333333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 w14:paraId="70A042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2BDD1E4"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B0C9F6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2D1A4DB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443712B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6B80F2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8E86D4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72B660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7C29FDD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5370D19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BE64FFE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368B11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 w14:paraId="32E4C58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2794F0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 w14:paraId="62F502F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C9A205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326C35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0E08BE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BAE1EAE">
            <w:pPr>
              <w:spacing w:line="560" w:lineRule="exact"/>
              <w:rPr>
                <w:rFonts w:ascii="宋体"/>
                <w:sz w:val="24"/>
              </w:rPr>
            </w:pPr>
          </w:p>
        </w:tc>
      </w:tr>
      <w:tr w14:paraId="1EF43C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29BDBC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4E7F79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40BF5A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4D511E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A819F8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2509E2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CED044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009E82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32</w:t>
            </w:r>
          </w:p>
        </w:tc>
      </w:tr>
      <w:tr w14:paraId="764903D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C7D132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51469A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8D80C2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BDCB26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3F4ECF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4DD36E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77994A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573500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B4B44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BECC114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6F0548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2502A5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157B2C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4A06AE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7A50E0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4A89CC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0027DE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A92624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14</w:t>
            </w:r>
          </w:p>
        </w:tc>
      </w:tr>
      <w:tr w14:paraId="449298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911866C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CF67F97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065071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A0126A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21B7D3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7B3509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5DA63E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0D28D1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0407C3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41BD30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8F8C42F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1EB6AA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1F19158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72897E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B3FF77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D20B55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FD797E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60ECB9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232560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9D307F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06D2E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670E60F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40CB9AD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2E26553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67ED2D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007E36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A5B98A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275C87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018441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B585CD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C47178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29E3AB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66C3BDD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40E408B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6D4F6D5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5554DF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77E0D0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2E7E2D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A43A7B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3ECC2B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B10F37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03A3E4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56A39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9D2F204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9804B9A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08848E6E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D9C951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5E3E24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043AF6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25C949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FA94FA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425C2D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A00FDE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CDFBC8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6C0EAD2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EEE61F0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2304CDE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622515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D4F988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B4FBA4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01F34A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9B4D81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63A746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385FDE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2D0F4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0499A43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C3C68BA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628CCF9D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C96C37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1AFCCE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E44A42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EC6C68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EA2A5B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1B3053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FBA7F7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4266EF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83F14D3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EEA5028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07522F8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3EF820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337B91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E2B76D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8E35F3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8C4677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642B6B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CF6853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75588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9A33E55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B1120CA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49036EF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08534E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F7AA3C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9756B8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D966AE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60BB65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239162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748E0F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C792C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6BDA76C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F5A01D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1AFBA03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F3A93A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27FCD4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F5D83D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F63ADD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7832DB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D69B2D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14F2A9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17</w:t>
            </w:r>
          </w:p>
        </w:tc>
      </w:tr>
      <w:tr w14:paraId="466A38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580F5A9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2667820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12BFA63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0C3200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A4D768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3E54FA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20CF81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1CBC87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0B0080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B60F60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EC70D9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7C5DD9A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8D197D5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14AF383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C3E384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EF1FBF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6F0EC1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7C44EF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22CE13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AC998A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A48F89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218D4D9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B8D48B0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4D101B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1411153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A405C9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136F8E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7BD413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3D81C0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F221B3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9AD769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CE349B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39CD4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08955CE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72DC45D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63DB1B4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FBAA16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80CAB9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51E5DC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01791A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026B89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BE193C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990779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B4F15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DAABF68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B623C03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6417392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A10164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283537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2FFD3A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3F6330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12BDE5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D65E64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54C0F0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9C664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1A019BB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FD65028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0416E92E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92E64C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ED9249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13CE68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75F3D4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A8021C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94E351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7B4B7C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678EA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EC4550D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D4932BC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2B50704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F824A6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059D24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22C6AF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A825E3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B860FF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4CC627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4E5C02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26C897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0DBE111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A523DF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DE40A70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9BE68B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B41678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B30B98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5A702F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49E841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2AF8A7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87F8B1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290509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B9F8419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5DAC585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81E4167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657008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BA854F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1FCDBF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E2F757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8E77E7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8E1B26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BB5182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288B14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CE5CC82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2C481DD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70BCBD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91F00A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EC2CEC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C9ADF1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3A8E77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7A04EB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A3F14B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F73696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0FC315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03308A2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64725A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3F35E9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B6C3EB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DCDC79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13B570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E5435F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6ED185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4663EB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31</w:t>
            </w:r>
          </w:p>
        </w:tc>
      </w:tr>
      <w:tr w14:paraId="60895CE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D77A26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1B26E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6614A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A4D5A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37568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99F94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B0708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F1C09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1</w:t>
            </w:r>
          </w:p>
        </w:tc>
      </w:tr>
    </w:tbl>
    <w:p w14:paraId="6BFB990C">
      <w:pPr>
        <w:pStyle w:val="2"/>
        <w:spacing w:line="560" w:lineRule="exact"/>
        <w:ind w:left="420" w:leftChars="200"/>
      </w:pPr>
    </w:p>
    <w:p w14:paraId="7AA0E75D">
      <w:pPr>
        <w:spacing w:line="560" w:lineRule="exact"/>
        <w:ind w:firstLine="640" w:firstLineChars="200"/>
        <w:outlineLvl w:val="0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 w14:paraId="473E5120">
      <w:pPr>
        <w:widowControl/>
        <w:spacing w:line="560" w:lineRule="exact"/>
        <w:jc w:val="center"/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6DA76C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AA44E4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0F553F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10174C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616BD4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7424E2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22069A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5058E99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0D6B14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61FD38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2A705F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32DE15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0C84322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470479F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81C5B70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2B52BF6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E5F3452"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4DAF188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ED80CF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1DEEBE5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C8DD47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5F3EFE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7C7D309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6A23958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04839DB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3E8E48F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 w14:paraId="2B9A8C2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596608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672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A7D4F2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717F32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35BD7E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C32AE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6D926">
            <w:pPr>
              <w:widowControl/>
              <w:spacing w:line="56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DB1D25"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EF3BD0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0C3EF9"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FCC86">
            <w:pPr>
              <w:widowControl/>
              <w:spacing w:line="560" w:lineRule="exact"/>
              <w:jc w:val="center"/>
              <w:rPr>
                <w:rFonts w:eastAsia="黑体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9C57B5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72C21F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31841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B8884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AA03F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3C000A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</w:tr>
    </w:tbl>
    <w:p w14:paraId="1124F77C">
      <w:pPr>
        <w:widowControl/>
        <w:spacing w:line="560" w:lineRule="exact"/>
        <w:jc w:val="left"/>
      </w:pPr>
    </w:p>
    <w:p w14:paraId="04AE9C73">
      <w:pPr>
        <w:widowControl/>
        <w:spacing w:line="560" w:lineRule="exact"/>
        <w:ind w:firstLine="672" w:firstLineChars="200"/>
        <w:jc w:val="left"/>
        <w:outlineLvl w:val="0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 w14:paraId="72FF0BF7">
      <w:pPr>
        <w:pStyle w:val="3"/>
        <w:widowControl/>
        <w:spacing w:beforeAutospacing="0" w:afterAutospacing="0" w:line="560" w:lineRule="exact"/>
        <w:ind w:firstLine="640" w:firstLineChars="200"/>
        <w:rPr>
          <w:rFonts w:hint="default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ascii="楷体_GB2312" w:hAnsi="楷体_GB2312" w:eastAsia="楷体_GB2312" w:cs="楷体_GB2312"/>
          <w:b w:val="0"/>
          <w:bCs/>
          <w:color w:val="000000"/>
          <w:sz w:val="32"/>
          <w:szCs w:val="32"/>
          <w:shd w:val="clear" w:color="auto" w:fill="FFFFFF"/>
        </w:rPr>
        <w:t>（一）存在的主要问题</w:t>
      </w:r>
    </w:p>
    <w:p w14:paraId="78E2CC86"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1.工作人员业务能力存在短板，部分人员对《条例》条款理解不够深入，在依申请公开答复文书撰写、复杂申请处理等方面存在不足，影响工作质量。</w:t>
      </w:r>
    </w:p>
    <w:p w14:paraId="4B625543">
      <w:pPr>
        <w:pStyle w:val="2"/>
        <w:ind w:firstLine="640" w:firstLineChars="200"/>
        <w:rPr>
          <w:rFonts w:eastAsia="仿宋_GB231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2.监督保障机制不够完善，绩效考核中信息公开相关指标权重偏低，日常监督以自查为主，缺乏常态化的外部评估与反馈渠道，问题整改闭环管理不够严密。</w:t>
      </w:r>
    </w:p>
    <w:p w14:paraId="16F4F37C">
      <w:pPr>
        <w:pStyle w:val="3"/>
        <w:widowControl/>
        <w:spacing w:beforeAutospacing="0" w:afterAutospacing="0" w:line="560" w:lineRule="exact"/>
        <w:ind w:firstLine="640" w:firstLineChars="200"/>
        <w:rPr>
          <w:rFonts w:hint="default" w:ascii="楷体_GB2312" w:hAnsi="楷体_GB2312" w:eastAsia="楷体_GB2312" w:cs="楷体_GB2312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ascii="楷体_GB2312" w:hAnsi="楷体_GB2312" w:eastAsia="楷体_GB2312" w:cs="楷体_GB2312"/>
          <w:b w:val="0"/>
          <w:bCs/>
          <w:color w:val="000000"/>
          <w:sz w:val="32"/>
          <w:szCs w:val="32"/>
          <w:shd w:val="clear" w:color="auto" w:fill="FFFFFF"/>
        </w:rPr>
        <w:t>（二）改进情况</w:t>
      </w:r>
    </w:p>
    <w:p w14:paraId="3C0804E2"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1.强化业务能力建设，制定年度培训计划，开展《条例》及业务知识专题培训，重点围绕依申请公开办理流程、答复规范、疑难问题处置等内容进行实操教学。建立业务交流机制，组织工作人员开展案例研讨、经验分享活动，提升解决实际问题的能力，同时加强工作督导检查，定期通报工作情况，倒逼工作落实。</w:t>
      </w:r>
    </w:p>
    <w:p w14:paraId="45123BF3">
      <w:pPr>
        <w:pStyle w:val="2"/>
        <w:ind w:firstLine="640" w:firstLineChars="200"/>
        <w:rPr>
          <w:rFonts w:eastAsia="仿宋_GB231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2.完善监督保障机制，提高信息公开工作在绩效考核指标体系权重，畅通群众反馈渠道。建立“问题排查—整改落实—回头看”闭环管理机制，定期通报工作成效与不足，倒逼工作提质增效。</w:t>
      </w:r>
    </w:p>
    <w:p w14:paraId="571F326D">
      <w:pPr>
        <w:widowControl/>
        <w:spacing w:line="560" w:lineRule="exact"/>
        <w:ind w:firstLine="675"/>
        <w:jc w:val="left"/>
        <w:outlineLvl w:val="0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 w14:paraId="069179C6">
      <w:pPr>
        <w:widowControl/>
        <w:spacing w:line="560" w:lineRule="exact"/>
        <w:jc w:val="lef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宋体" w:hAnsi="宋体" w:cs="宋体"/>
          <w:spacing w:val="8"/>
          <w:kern w:val="0"/>
          <w:sz w:val="32"/>
          <w:szCs w:val="32"/>
        </w:rPr>
        <w:t>发出收费通知的件数以及实际收取的总金额均为0。</w:t>
      </w:r>
      <w:r>
        <w:rPr>
          <w:rFonts w:ascii="宋体" w:hAnsi="宋体" w:cs="宋体"/>
          <w:spacing w:val="8"/>
          <w:kern w:val="0"/>
          <w:sz w:val="32"/>
          <w:szCs w:val="32"/>
        </w:rPr>
        <w:tab/>
      </w:r>
      <w:r>
        <w:rPr>
          <w:rFonts w:ascii="宋体" w:hAnsi="宋体" w:cs="宋体"/>
          <w:spacing w:val="8"/>
          <w:kern w:val="0"/>
          <w:sz w:val="32"/>
          <w:szCs w:val="32"/>
        </w:rPr>
        <w:tab/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54747D-1BBB-42AB-912B-83FC5C28AF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CAE5EF1-6A3A-479D-AAB5-DB7EFB6CF28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03CBBC72-0F44-4B5E-8180-1242E31F5A7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23E55BB-F761-4E51-90E9-9844DFC3448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4B767D7-6C72-4967-A066-E41338952DC0}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061E017A-291C-4BA4-B1E1-375787CC250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0251FCC"/>
    <w:rsid w:val="00AD689D"/>
    <w:rsid w:val="00B0125A"/>
    <w:rsid w:val="00FF6E14"/>
    <w:rsid w:val="03335E64"/>
    <w:rsid w:val="1BA329D1"/>
    <w:rsid w:val="1D85059A"/>
    <w:rsid w:val="21304B4D"/>
    <w:rsid w:val="25266468"/>
    <w:rsid w:val="2A953A4B"/>
    <w:rsid w:val="30164183"/>
    <w:rsid w:val="310E49D1"/>
    <w:rsid w:val="43DA6447"/>
    <w:rsid w:val="48F05BC4"/>
    <w:rsid w:val="57B44ACB"/>
    <w:rsid w:val="5A0019DA"/>
    <w:rsid w:val="613717E3"/>
    <w:rsid w:val="61FC300A"/>
    <w:rsid w:val="6C960B42"/>
    <w:rsid w:val="77CD4AB9"/>
    <w:rsid w:val="78054932"/>
    <w:rsid w:val="7A1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1335</Words>
  <Characters>1371</Characters>
  <Lines>17</Lines>
  <Paragraphs>4</Paragraphs>
  <TotalTime>57</TotalTime>
  <ScaleCrop>false</ScaleCrop>
  <LinksUpToDate>false</LinksUpToDate>
  <CharactersWithSpaces>1375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WPS_1717489222</cp:lastModifiedBy>
  <cp:lastPrinted>2026-01-04T02:44:00Z</cp:lastPrinted>
  <dcterms:modified xsi:type="dcterms:W3CDTF">2026-01-19T08:44:52Z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6875E895816C4DC79A3DCE4CEC33A7CE</vt:lpwstr>
  </property>
  <property fmtid="{D5CDD505-2E9C-101B-9397-08002B2CF9AE}" pid="4" name="KSOTemplateDocerSaveRecord">
    <vt:lpwstr>eyJoZGlkIjoiMzEwNTM5NzYwMDRjMzkwZTVkZjY2ODkwMGIxNGU0OTUiLCJ1c2VySWQiOiIxNjA0Mzk3OTIxIn0=</vt:lpwstr>
  </property>
</Properties>
</file>