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北京市丰台区审计局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2025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年政府信息公开工作年度报告</w:t>
      </w:r>
    </w:p>
    <w:p>
      <w:pPr>
        <w:spacing w:line="560" w:lineRule="exact"/>
        <w:jc w:val="center"/>
        <w:rPr>
          <w:color w:val="auto"/>
          <w:sz w:val="44"/>
          <w:szCs w:val="44"/>
        </w:rPr>
      </w:pPr>
      <w:r>
        <w:rPr>
          <w:rFonts w:hint="eastAsia" w:ascii="微软雅黑" w:hAnsi="微软雅黑" w:eastAsia="微软雅黑" w:cs="宋体"/>
          <w:color w:val="auto"/>
          <w:kern w:val="0"/>
          <w:sz w:val="24"/>
        </w:rPr>
        <w:t>　</w:t>
      </w:r>
      <w:r>
        <w:rPr>
          <w:rFonts w:hint="eastAsia" w:ascii="微软雅黑" w:hAnsi="微软雅黑" w:eastAsia="微软雅黑" w:cs="宋体"/>
          <w:color w:val="auto"/>
          <w:kern w:val="0"/>
          <w:sz w:val="32"/>
          <w:szCs w:val="32"/>
        </w:rPr>
        <w:t xml:space="preserve"> </w:t>
      </w:r>
      <w:r>
        <w:rPr>
          <w:rFonts w:ascii="微软雅黑" w:hAnsi="微软雅黑" w:eastAsia="微软雅黑" w:cs="宋体"/>
          <w:color w:val="auto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依据《中华人民共和国政府信息公开条例》(以下简称《政府信息公开条例》)第五十条规定，编制本报告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ascii="黑体" w:hAnsi="黑体" w:eastAsia="黑体" w:cs="宋体"/>
          <w:color w:val="auto"/>
          <w:spacing w:val="8"/>
          <w:kern w:val="0"/>
          <w:sz w:val="32"/>
          <w:szCs w:val="32"/>
        </w:rPr>
      </w:pPr>
      <w:r>
        <w:rPr>
          <w:rFonts w:ascii="黑体" w:hAnsi="黑体" w:eastAsia="黑体" w:cs="宋体"/>
          <w:color w:val="auto"/>
          <w:spacing w:val="8"/>
          <w:kern w:val="0"/>
          <w:sz w:val="32"/>
          <w:szCs w:val="32"/>
        </w:rPr>
        <w:t>一、总体情况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2025年，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丰台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区审计局在区委、区政府的坚强领导下，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在丰台区政务服务和数据管理局的精准指导下，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深入贯彻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落实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《中华人民共和国政府信息公开条例》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《丰台区2025年政务公开工作要点》等文件精神，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围绕区委、区政府中心工作和社会公众关切，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紧扣审计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主责主业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，持续深化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政府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信息公开常态化建设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，着力提升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政府信息公开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质量，深化重点领域信息公开，加强政策解读和回应，努力保障人民群众的知情权、参与权、表达权和监督权，为服务丰台经济社会高质量发展发挥了审计作用。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楷体" w:cs="宋体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</w:rPr>
        <w:t>（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  <w:t>一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</w:rPr>
        <w:t>）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  <w:t>强化组织领导与制度保障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严格落实《丰台区审计局政府信息公开制度》，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细化信息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公开受理、承办、审查、答复等各环节操作规范，形成“流程清晰、责任到人”的工作闭环。坚持“办公室统筹协调、业务科室精准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提供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、组织人事科监督问责、法规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审理科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合法性审查”的分工模式，通过主要领导牵头抓总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主管领导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统筹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部署、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相关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科室协同联动，构建职责更明晰、协作更顺畅的工作格局。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  <w:t>聚焦主责主业主动公开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default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对预算执行审计、重大政策落实审计、经济责任审计等方面工作动态主动公开，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生动展示审计一线工作实况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在依法合规前提下，进一步拓宽审计结果公开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范围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对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民生保障、重大政策落地、公共资金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使用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、重大项目建设相关的审计结果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等社会关注度高的领域，持续加大主动公开力度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，</w:t>
      </w:r>
      <w:r>
        <w:rPr>
          <w:rFonts w:hint="eastAsia" w:ascii="仿宋_GB2312" w:eastAsia="仿宋_GB2312"/>
          <w:color w:val="auto"/>
          <w:spacing w:val="8"/>
          <w:sz w:val="32"/>
          <w:szCs w:val="32"/>
          <w:highlight w:val="none"/>
        </w:rPr>
        <w:t>披露审计发现问题</w:t>
      </w:r>
      <w:r>
        <w:rPr>
          <w:rFonts w:hint="eastAsia" w:ascii="仿宋_GB2312" w:eastAsia="仿宋_GB2312"/>
          <w:color w:val="auto"/>
          <w:spacing w:val="8"/>
          <w:sz w:val="32"/>
          <w:szCs w:val="32"/>
          <w:highlight w:val="none"/>
          <w:lang w:eastAsia="zh-CN"/>
        </w:rPr>
        <w:t>和</w:t>
      </w:r>
      <w:r>
        <w:rPr>
          <w:rFonts w:hint="eastAsia" w:ascii="仿宋_GB2312" w:eastAsia="仿宋_GB2312"/>
          <w:color w:val="auto"/>
          <w:spacing w:val="8"/>
          <w:sz w:val="32"/>
          <w:szCs w:val="32"/>
          <w:highlight w:val="none"/>
        </w:rPr>
        <w:t>整改情况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，保障公众对政府资金使用效益和部门履职情况的知情权。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全年通过区政府门户网站主动公开政府信息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125条。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</w:rPr>
        <w:t>（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  <w:t>三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</w:rPr>
        <w:t>）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  <w:t>规范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</w:rPr>
        <w:t>依申请公开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  <w:t>办理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ascii="仿宋_GB2312" w:hAnsi="宋体" w:eastAsia="仿宋_GB2312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畅通线上线下申请渠道，优化受理、审查、答复、归档流程。注重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协同办理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针对申请事项，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坚持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“办公室牵头、相关科室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配合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”的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工作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机制，集体研究答复意见，确保答复准确、高效、统一。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注重与申请人主动沟通，主动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告知办理流程，询问申请需求，耐心解答疑问，复杂事项定期反馈进展，全力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保障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合理诉求，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努力提高答复的规范性和满意度。全年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共收到政府信息公开申请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件，均严格遵循法律法规要求，按期高质量完成答复。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5"/>
        <w:jc w:val="left"/>
        <w:textAlignment w:val="auto"/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highlight w:val="none"/>
          <w:lang w:eastAsia="zh-CN"/>
        </w:rPr>
      </w:pP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highlight w:val="none"/>
        </w:rPr>
        <w:t>（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highlight w:val="none"/>
          <w:lang w:eastAsia="zh-CN"/>
        </w:rPr>
        <w:t>四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highlight w:val="none"/>
        </w:rPr>
        <w:t>）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highlight w:val="none"/>
          <w:lang w:eastAsia="zh-CN"/>
        </w:rPr>
        <w:t>夯实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highlight w:val="none"/>
        </w:rPr>
        <w:t>信息公开基础</w:t>
      </w: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highlight w:val="none"/>
          <w:lang w:eastAsia="zh-CN"/>
        </w:rPr>
        <w:t>保障</w:t>
      </w:r>
    </w:p>
    <w:p>
      <w:pPr>
        <w:widowControl/>
        <w:shd w:val="clear" w:color="auto" w:fill="FFFFFF"/>
        <w:adjustRightInd w:val="0"/>
        <w:snapToGrid w:val="0"/>
        <w:spacing w:line="560" w:lineRule="exact"/>
        <w:ind w:firstLine="672" w:firstLineChars="200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highlight w:val="green"/>
          <w:lang w:eastAsia="zh-CN"/>
        </w:rPr>
      </w:pP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强化全流程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审核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管理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完善信息内容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审核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与保密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审核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双重机制，细化信息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lang w:eastAsia="zh-CN"/>
        </w:rPr>
        <w:t>公开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  <w:t>审批流程，对公开内容实行“多级审核、层层把关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highlight w:val="none"/>
        </w:rPr>
        <w:t>”。</w:t>
      </w:r>
      <w:r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  <w:highlight w:val="none"/>
          <w:lang w:eastAsia="zh-CN"/>
        </w:rPr>
        <w:t>强化信息公开时效性管控，按照上级部门要求，按时、准确公开信息，对重要节日节点的工作动态及时公开，</w:t>
      </w:r>
      <w:r>
        <w:rPr>
          <w:rFonts w:hint="eastAsia" w:ascii="仿宋_GB2312" w:hAnsi="微软雅黑" w:eastAsia="仿宋_GB2312" w:cs="宋体"/>
          <w:color w:val="auto"/>
          <w:kern w:val="0"/>
          <w:sz w:val="32"/>
          <w:szCs w:val="32"/>
          <w:highlight w:val="none"/>
          <w:lang w:eastAsia="zh-CN"/>
        </w:rPr>
        <w:t>提高政府信息公开的整体效率与质量。</w:t>
      </w:r>
      <w:r>
        <w:rPr>
          <w:rFonts w:hint="eastAsia" w:ascii="仿宋_GB2312" w:eastAsia="仿宋_GB2312"/>
          <w:color w:val="auto"/>
          <w:spacing w:val="8"/>
          <w:sz w:val="32"/>
          <w:szCs w:val="32"/>
          <w:highlight w:val="none"/>
        </w:rPr>
        <w:t>规范上传信息分类，加强网站运维管理，及时更新</w:t>
      </w:r>
      <w:r>
        <w:rPr>
          <w:rFonts w:hint="eastAsia" w:ascii="仿宋_GB2312" w:eastAsia="仿宋_GB2312"/>
          <w:color w:val="auto"/>
          <w:spacing w:val="8"/>
          <w:sz w:val="32"/>
          <w:szCs w:val="32"/>
          <w:highlight w:val="none"/>
          <w:lang w:eastAsia="zh-CN"/>
        </w:rPr>
        <w:t>维护</w:t>
      </w:r>
      <w:r>
        <w:rPr>
          <w:rFonts w:hint="eastAsia" w:ascii="仿宋_GB2312" w:eastAsia="仿宋_GB2312"/>
          <w:color w:val="auto"/>
          <w:spacing w:val="8"/>
          <w:sz w:val="32"/>
          <w:szCs w:val="32"/>
          <w:highlight w:val="none"/>
        </w:rPr>
        <w:t>栏目</w:t>
      </w:r>
      <w:r>
        <w:rPr>
          <w:rFonts w:hint="eastAsia" w:ascii="仿宋_GB2312" w:eastAsia="仿宋_GB2312"/>
          <w:color w:val="auto"/>
          <w:spacing w:val="8"/>
          <w:sz w:val="32"/>
          <w:szCs w:val="32"/>
          <w:highlight w:val="none"/>
          <w:lang w:eastAsia="zh-CN"/>
        </w:rPr>
        <w:t>，优化公开</w:t>
      </w:r>
      <w:r>
        <w:rPr>
          <w:rFonts w:hint="eastAsia" w:ascii="仿宋_GB2312" w:eastAsia="仿宋_GB2312"/>
          <w:color w:val="auto"/>
          <w:spacing w:val="8"/>
          <w:sz w:val="32"/>
          <w:szCs w:val="32"/>
          <w:highlight w:val="none"/>
        </w:rPr>
        <w:t>平台建设。</w:t>
      </w:r>
      <w:bookmarkStart w:id="0" w:name="_GoBack"/>
      <w:bookmarkEnd w:id="0"/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主动公开政府信息情况</w:t>
      </w:r>
    </w:p>
    <w:p>
      <w:pPr>
        <w:pStyle w:val="2"/>
        <w:spacing w:line="560" w:lineRule="exact"/>
        <w:rPr>
          <w:rFonts w:hint="eastAsia"/>
          <w:color w:val="auto"/>
        </w:rPr>
      </w:pPr>
    </w:p>
    <w:tbl>
      <w:tblPr>
        <w:tblStyle w:val="6"/>
        <w:tblW w:w="97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jc w:val="center"/>
              <w:rPr>
                <w:rFonts w:hint="eastAsia" w:ascii="宋体" w:eastAsia="宋体"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lang w:val="en-US" w:eastAsia="zh-CN"/>
              </w:rPr>
              <w:t>0</w:t>
            </w:r>
          </w:p>
        </w:tc>
      </w:tr>
    </w:tbl>
    <w:p>
      <w:pPr>
        <w:pStyle w:val="2"/>
        <w:spacing w:line="560" w:lineRule="exact"/>
        <w:rPr>
          <w:rFonts w:hint="eastAsia"/>
          <w:color w:val="auto"/>
        </w:rPr>
      </w:pPr>
    </w:p>
    <w:p>
      <w:pPr>
        <w:numPr>
          <w:ilvl w:val="0"/>
          <w:numId w:val="2"/>
        </w:numPr>
        <w:spacing w:line="560" w:lineRule="exact"/>
        <w:ind w:firstLine="64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收到和处理政府信息公开申请情况</w:t>
      </w:r>
    </w:p>
    <w:p>
      <w:pPr>
        <w:pStyle w:val="5"/>
        <w:widowControl/>
        <w:shd w:val="clear" w:color="auto" w:fill="FFFFFF"/>
        <w:spacing w:before="0" w:beforeAutospacing="0" w:after="0" w:afterAutospacing="0" w:line="560" w:lineRule="exact"/>
        <w:ind w:firstLine="420"/>
        <w:jc w:val="both"/>
        <w:rPr>
          <w:rFonts w:hint="eastAsia" w:ascii="宋体" w:hAnsi="宋体" w:cs="宋体"/>
          <w:color w:val="auto"/>
        </w:rPr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ascii="楷体" w:hAnsi="楷体" w:eastAsia="楷体" w:cs="楷体"/>
                <w:color w:val="auto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8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8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ascii="楷体" w:hAnsi="楷体" w:eastAsia="楷体" w:cs="楷体"/>
                <w:color w:val="auto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94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3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41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exact"/>
              <w:jc w:val="left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top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Calibri" w:hAnsi="Calibri" w:cs="Calibri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Calibri" w:hAnsi="Calibri" w:cs="Calibri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p>
      <w:pPr>
        <w:pStyle w:val="2"/>
        <w:spacing w:line="560" w:lineRule="exact"/>
        <w:ind w:left="420" w:leftChars="200"/>
        <w:rPr>
          <w:rFonts w:hint="eastAsia"/>
          <w:color w:val="auto"/>
        </w:rPr>
      </w:pPr>
    </w:p>
    <w:p>
      <w:pPr>
        <w:pStyle w:val="2"/>
        <w:spacing w:line="560" w:lineRule="exact"/>
        <w:ind w:left="420" w:leftChars="200"/>
        <w:rPr>
          <w:rFonts w:hint="eastAsia"/>
          <w:color w:val="auto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四、政府信息公开行政复议、行政诉讼情况</w:t>
      </w:r>
    </w:p>
    <w:p>
      <w:pPr>
        <w:widowControl/>
        <w:spacing w:line="560" w:lineRule="exact"/>
        <w:jc w:val="center"/>
        <w:rPr>
          <w:color w:val="auto"/>
        </w:rPr>
      </w:pPr>
    </w:p>
    <w:tbl>
      <w:tblPr>
        <w:tblStyle w:val="6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  <w:jc w:val="center"/>
        </w:trPr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4" w:hRule="atLeast"/>
          <w:jc w:val="center"/>
        </w:trPr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hint="eastAsia" w:ascii="宋体"/>
                <w:color w:val="auto"/>
                <w:sz w:val="24"/>
              </w:rPr>
            </w:pP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黑体"/>
                <w:color w:val="auto"/>
                <w:lang w:val="en-US" w:eastAsia="zh-CN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color w:val="auto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  <w:tc>
          <w:tcPr>
            <w:tcW w:w="6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宋体" w:cs="Times New Roman"/>
                <w:color w:val="auto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  <w:r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 </w:t>
            </w:r>
          </w:p>
        </w:tc>
      </w:tr>
    </w:tbl>
    <w:p>
      <w:pPr>
        <w:widowControl/>
        <w:spacing w:line="560" w:lineRule="exact"/>
        <w:jc w:val="left"/>
        <w:rPr>
          <w:color w:val="auto"/>
        </w:rPr>
      </w:pPr>
    </w:p>
    <w:p>
      <w:pPr>
        <w:widowControl/>
        <w:spacing w:line="560" w:lineRule="exact"/>
        <w:ind w:firstLine="672" w:firstLineChars="200"/>
        <w:jc w:val="left"/>
        <w:rPr>
          <w:rFonts w:ascii="宋体" w:hAnsi="宋体" w:cs="宋体"/>
          <w:color w:val="auto"/>
          <w:spacing w:val="8"/>
          <w:kern w:val="0"/>
          <w:sz w:val="24"/>
        </w:rPr>
      </w:pPr>
      <w:r>
        <w:rPr>
          <w:rFonts w:ascii="黑体" w:hAnsi="黑体" w:eastAsia="黑体" w:cs="宋体"/>
          <w:color w:val="auto"/>
          <w:spacing w:val="8"/>
          <w:kern w:val="0"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jc w:val="left"/>
        <w:textAlignment w:val="auto"/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  <w:t>（一）存在问题</w:t>
      </w:r>
    </w:p>
    <w:p>
      <w:pPr>
        <w:pStyle w:val="2"/>
        <w:rPr>
          <w:rFonts w:hint="default"/>
          <w:color w:val="auto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>一是公开信息解读形式较为传统，可视化、通俗化呈现手段不足，对专业政策的转化解释不够充分，难以满足不同群体的信息获取习惯；二是部分工作人员对信息公开政策法规的精准把握、重点领域重点事项的处置应对能力有待提升。</w:t>
      </w:r>
    </w:p>
    <w:p>
      <w:pPr>
        <w:pStyle w:val="2"/>
        <w:keepNext w:val="0"/>
        <w:keepLines w:val="0"/>
        <w:pageBreakBefore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" w:firstLineChars="200"/>
        <w:textAlignment w:val="auto"/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eastAsia="zh-CN"/>
        </w:rPr>
        <w:t>改进情况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楷体" w:hAnsi="楷体" w:eastAsia="楷体" w:cs="楷体"/>
          <w:color w:val="auto"/>
          <w:spacing w:val="8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  <w:lang w:val="en-US" w:eastAsia="zh-CN"/>
        </w:rPr>
        <w:t xml:space="preserve"> 一是深化解读回应，提升公开实效。探索运用问答式、场景式、微视频等形式，提升政策解读的吸引力和可读性。二是夯实工作基础，强化能力建设。加强对政府信息公开法律法规、业务流程等培训，发挥“老带新”作用，全面提升工作人员的政策素养和实操能力。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ascii="宋体" w:hAnsi="宋体" w:cs="宋体"/>
          <w:color w:val="auto"/>
          <w:spacing w:val="8"/>
          <w:kern w:val="0"/>
          <w:sz w:val="32"/>
          <w:szCs w:val="32"/>
        </w:rPr>
      </w:pPr>
      <w:r>
        <w:rPr>
          <w:rFonts w:hint="eastAsia" w:ascii="楷体" w:hAnsi="楷体" w:eastAsia="楷体" w:cs="楷体"/>
          <w:color w:val="auto"/>
          <w:spacing w:val="8"/>
          <w:kern w:val="0"/>
          <w:sz w:val="32"/>
          <w:szCs w:val="32"/>
          <w:lang w:val="en-US" w:eastAsia="zh-CN"/>
        </w:rPr>
        <w:t xml:space="preserve">    </w:t>
      </w:r>
      <w:r>
        <w:rPr>
          <w:rFonts w:ascii="黑体" w:hAnsi="黑体" w:eastAsia="黑体" w:cs="宋体"/>
          <w:color w:val="auto"/>
          <w:spacing w:val="8"/>
          <w:kern w:val="0"/>
          <w:sz w:val="32"/>
          <w:szCs w:val="32"/>
        </w:rPr>
        <w:t>六、其他需要报告的事项</w:t>
      </w:r>
    </w:p>
    <w:p>
      <w:pPr>
        <w:widowControl/>
        <w:adjustRightInd w:val="0"/>
        <w:snapToGrid w:val="0"/>
        <w:spacing w:line="560" w:lineRule="exact"/>
        <w:ind w:firstLine="640" w:firstLineChars="200"/>
        <w:rPr>
          <w:rFonts w:hint="eastAsia" w:ascii="仿宋_GB2312" w:hAnsi="Helvetica" w:eastAsia="仿宋_GB2312" w:cs="Helvetica"/>
          <w:color w:val="auto"/>
          <w:kern w:val="0"/>
          <w:sz w:val="32"/>
          <w:szCs w:val="32"/>
        </w:rPr>
      </w:pPr>
      <w:r>
        <w:rPr>
          <w:rFonts w:hint="eastAsia" w:ascii="仿宋_GB2312" w:hAnsi="Helvetica" w:eastAsia="仿宋_GB2312" w:cs="Helvetica"/>
          <w:color w:val="auto"/>
          <w:kern w:val="0"/>
          <w:sz w:val="32"/>
          <w:szCs w:val="32"/>
        </w:rPr>
        <w:t>根据《政府信息公开信息处理费管理办法》(国办函〔2020〕109号)，202</w:t>
      </w:r>
      <w:r>
        <w:rPr>
          <w:rFonts w:hint="eastAsia" w:ascii="仿宋_GB2312" w:hAnsi="Helvetica" w:eastAsia="仿宋_GB2312" w:cs="Helvetica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Helvetica" w:eastAsia="仿宋_GB2312" w:cs="Helvetica"/>
          <w:color w:val="auto"/>
          <w:kern w:val="0"/>
          <w:sz w:val="32"/>
          <w:szCs w:val="32"/>
        </w:rPr>
        <w:t>年度丰台区</w:t>
      </w:r>
      <w:r>
        <w:rPr>
          <w:rFonts w:ascii="仿宋_GB2312" w:hAnsi="Helvetica" w:eastAsia="仿宋_GB2312" w:cs="Helvetica"/>
          <w:color w:val="auto"/>
          <w:kern w:val="0"/>
          <w:sz w:val="32"/>
          <w:szCs w:val="32"/>
        </w:rPr>
        <w:t>审计</w:t>
      </w:r>
      <w:r>
        <w:rPr>
          <w:rFonts w:hint="eastAsia" w:ascii="仿宋_GB2312" w:hAnsi="Helvetica" w:eastAsia="仿宋_GB2312" w:cs="Helvetica"/>
          <w:color w:val="auto"/>
          <w:kern w:val="0"/>
          <w:sz w:val="32"/>
          <w:szCs w:val="32"/>
        </w:rPr>
        <w:t>局收取信息处理费情况为：发出收费通知的件数为</w:t>
      </w:r>
      <w:r>
        <w:rPr>
          <w:rFonts w:ascii="仿宋_GB2312" w:hAnsi="Helvetica" w:eastAsia="仿宋_GB2312" w:cs="Helvetica"/>
          <w:color w:val="auto"/>
          <w:kern w:val="0"/>
          <w:sz w:val="32"/>
          <w:szCs w:val="32"/>
        </w:rPr>
        <w:t>0</w:t>
      </w:r>
      <w:r>
        <w:rPr>
          <w:rFonts w:hint="eastAsia" w:ascii="仿宋_GB2312" w:hAnsi="Helvetica" w:eastAsia="仿宋_GB2312" w:cs="Helvetica"/>
          <w:color w:val="auto"/>
          <w:kern w:val="0"/>
          <w:sz w:val="32"/>
          <w:szCs w:val="32"/>
        </w:rPr>
        <w:t>件，总金额为</w:t>
      </w:r>
      <w:r>
        <w:rPr>
          <w:rFonts w:ascii="仿宋_GB2312" w:hAnsi="Helvetica" w:eastAsia="仿宋_GB2312" w:cs="Helvetica"/>
          <w:color w:val="auto"/>
          <w:kern w:val="0"/>
          <w:sz w:val="32"/>
          <w:szCs w:val="32"/>
        </w:rPr>
        <w:t>0</w:t>
      </w:r>
      <w:r>
        <w:rPr>
          <w:rFonts w:hint="eastAsia" w:ascii="仿宋_GB2312" w:hAnsi="Helvetica" w:eastAsia="仿宋_GB2312" w:cs="Helvetica"/>
          <w:color w:val="auto"/>
          <w:kern w:val="0"/>
          <w:sz w:val="32"/>
          <w:szCs w:val="32"/>
        </w:rPr>
        <w:t>元，实际收取的总金额为</w:t>
      </w:r>
      <w:r>
        <w:rPr>
          <w:rFonts w:ascii="仿宋_GB2312" w:hAnsi="Helvetica" w:eastAsia="仿宋_GB2312" w:cs="Helvetica"/>
          <w:color w:val="auto"/>
          <w:kern w:val="0"/>
          <w:sz w:val="32"/>
          <w:szCs w:val="32"/>
        </w:rPr>
        <w:t>0</w:t>
      </w:r>
      <w:r>
        <w:rPr>
          <w:rFonts w:hint="eastAsia" w:ascii="仿宋_GB2312" w:hAnsi="Helvetica" w:eastAsia="仿宋_GB2312" w:cs="Helvetica"/>
          <w:color w:val="auto"/>
          <w:kern w:val="0"/>
          <w:sz w:val="32"/>
          <w:szCs w:val="32"/>
        </w:rPr>
        <w:t>元。</w:t>
      </w:r>
    </w:p>
    <w:p>
      <w:pPr>
        <w:widowControl/>
        <w:spacing w:line="560" w:lineRule="exact"/>
        <w:jc w:val="left"/>
        <w:rPr>
          <w:rFonts w:hint="eastAsia" w:ascii="仿宋_GB2312" w:hAnsi="宋体" w:eastAsia="仿宋_GB2312" w:cs="宋体"/>
          <w:color w:val="auto"/>
          <w:spacing w:val="8"/>
          <w:kern w:val="0"/>
          <w:sz w:val="32"/>
          <w:szCs w:val="32"/>
        </w:rPr>
      </w:pPr>
    </w:p>
    <w:p>
      <w:pPr>
        <w:pStyle w:val="2"/>
        <w:spacing w:line="560" w:lineRule="exact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微软雅黑" w:hAnsi="微软雅黑" w:eastAsia="微软雅黑" w:cs="宋体"/>
          <w:color w:val="auto"/>
          <w:kern w:val="0"/>
          <w:sz w:val="32"/>
          <w:szCs w:val="32"/>
        </w:rPr>
        <w:t xml:space="preserve"> 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Helvetica">
    <w:altName w:val="Liberation Sans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Liberation Sans">
    <w:panose1 w:val="020B0604020202020204"/>
    <w:charset w:val="00"/>
    <w:family w:val="auto"/>
    <w:pitch w:val="default"/>
    <w:sig w:usb0="A00002AF" w:usb1="5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8FBF937"/>
    <w:multiLevelType w:val="singleLevel"/>
    <w:tmpl w:val="F8FBF937"/>
    <w:lvl w:ilvl="0" w:tentative="0">
      <w:start w:val="2"/>
      <w:numFmt w:val="chineseCounting"/>
      <w:suff w:val="nothing"/>
      <w:lvlText w:val="%1、"/>
      <w:lvlJc w:val="left"/>
      <w:pPr>
        <w:ind w:left="-10"/>
      </w:pPr>
      <w:rPr>
        <w:rFonts w:hint="eastAsia"/>
      </w:rPr>
    </w:lvl>
  </w:abstractNum>
  <w:abstractNum w:abstractNumId="1">
    <w:nsid w:val="51318C53"/>
    <w:multiLevelType w:val="singleLevel"/>
    <w:tmpl w:val="51318C53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2">
    <w:nsid w:val="6A0B0C60"/>
    <w:multiLevelType w:val="singleLevel"/>
    <w:tmpl w:val="6A0B0C60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FC300A"/>
    <w:rsid w:val="022D399D"/>
    <w:rsid w:val="03335E64"/>
    <w:rsid w:val="06F36A99"/>
    <w:rsid w:val="07595DAA"/>
    <w:rsid w:val="0DE876BD"/>
    <w:rsid w:val="182B6AEE"/>
    <w:rsid w:val="19D50797"/>
    <w:rsid w:val="1C6D2878"/>
    <w:rsid w:val="1D85059A"/>
    <w:rsid w:val="1F436BA7"/>
    <w:rsid w:val="28BD00F1"/>
    <w:rsid w:val="2992641E"/>
    <w:rsid w:val="2B35393B"/>
    <w:rsid w:val="2FA901B0"/>
    <w:rsid w:val="33F20020"/>
    <w:rsid w:val="37407CA0"/>
    <w:rsid w:val="3CAC27FE"/>
    <w:rsid w:val="40AE033B"/>
    <w:rsid w:val="4553461E"/>
    <w:rsid w:val="473F5DDD"/>
    <w:rsid w:val="4C683DF8"/>
    <w:rsid w:val="5569154F"/>
    <w:rsid w:val="571977C5"/>
    <w:rsid w:val="577E24DE"/>
    <w:rsid w:val="57A3748D"/>
    <w:rsid w:val="5BEA7136"/>
    <w:rsid w:val="5D585053"/>
    <w:rsid w:val="5DE74C64"/>
    <w:rsid w:val="61FC300A"/>
    <w:rsid w:val="67240E85"/>
    <w:rsid w:val="6E0C09A8"/>
    <w:rsid w:val="6E927CDD"/>
    <w:rsid w:val="77F6A8E2"/>
    <w:rsid w:val="7BFD3491"/>
    <w:rsid w:val="7CB5F751"/>
    <w:rsid w:val="7DC84D28"/>
    <w:rsid w:val="EFF5F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1203</Words>
  <Characters>1215</Characters>
  <Lines>0</Lines>
  <Paragraphs>0</Paragraphs>
  <TotalTime>0</TotalTime>
  <ScaleCrop>false</ScaleCrop>
  <LinksUpToDate>false</LinksUpToDate>
  <CharactersWithSpaces>1220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2025-01-06T17:38:00Z</dcterms:created>
  <dc:creator>lc</dc:creator>
  <cp:lastModifiedBy>kylin</cp:lastModifiedBy>
  <cp:lastPrinted>2026-01-04T10:44:00Z</cp:lastPrinted>
  <dcterms:modified xsi:type="dcterms:W3CDTF">2026-01-13T10:42:52Z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  <property fmtid="{D5CDD505-2E9C-101B-9397-08002B2CF9AE}" pid="3" name="ICV">
    <vt:lpwstr>6875E895816C4DC79A3DCE4CEC33A7CE</vt:lpwstr>
  </property>
  <property fmtid="{D5CDD505-2E9C-101B-9397-08002B2CF9AE}" pid="4" name="KSOTemplateDocerSaveRecord">
    <vt:lpwstr>eyJoZGlkIjoiMDRmNTgwZTliMDEwOWM5N2Q5ZjA2NjA3MWM2NGM1MGIiLCJ1c2VySWQiOiIyNjI0MDA0MTAifQ==</vt:lpwstr>
  </property>
</Properties>
</file>