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北京市丰台区体育局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年政府信息公开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工作年度报告</w:t>
      </w:r>
    </w:p>
    <w:p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自2008年5月1日起丰台区体育局正式施行政府信息公开工作，局办公室为体育局政府信息公开工作主管部门(西四环南路55号306，电话：</w:t>
      </w:r>
      <w:r>
        <w:rPr>
          <w:rFonts w:hint="eastAsia" w:ascii="仿宋_GB2312" w:eastAsia="仿宋_GB2312" w:cs="Times New Roman"/>
          <w:kern w:val="0"/>
          <w:sz w:val="32"/>
          <w:szCs w:val="32"/>
          <w:lang w:val="en-US" w:eastAsia="zh-CN"/>
        </w:rPr>
        <w:t>010-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63814319，传真：</w:t>
      </w:r>
      <w:r>
        <w:rPr>
          <w:rFonts w:hint="eastAsia" w:ascii="仿宋_GB2312" w:eastAsia="仿宋_GB2312" w:cs="Times New Roman"/>
          <w:kern w:val="0"/>
          <w:sz w:val="32"/>
          <w:szCs w:val="32"/>
          <w:lang w:val="en-US" w:eastAsia="zh-CN"/>
        </w:rPr>
        <w:t>010-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63811657，电子邮箱：tyjbgs@mail.bjft.gov.cn)，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一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color w:val="000000"/>
          <w:sz w:val="32"/>
          <w:szCs w:val="32"/>
        </w:rPr>
        <w:t>组织领导</w:t>
      </w:r>
      <w:r>
        <w:rPr>
          <w:rFonts w:hint="eastAsia" w:ascii="楷体" w:hAnsi="楷体" w:eastAsia="楷体" w:cs="楷体"/>
          <w:color w:val="000000"/>
          <w:sz w:val="32"/>
          <w:szCs w:val="32"/>
          <w:lang w:val="en-US" w:eastAsia="zh-CN"/>
        </w:rPr>
        <w:t>情况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为切实加强区体育局政府信息公开工作，成立了由党组书记、局长任组长，分管领导任副组长，各科室主要负责人为成员的信息公开工作领导小组，由局办公室实行集中统一归口管理。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二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）主动公开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情况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202</w:t>
      </w:r>
      <w:r>
        <w:rPr>
          <w:rFonts w:hint="eastAsia" w:ascii="仿宋_GB2312" w:eastAsia="仿宋_GB2312" w:cs="Times New Roman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年度丰台区体育局</w:t>
      </w:r>
      <w:r>
        <w:rPr>
          <w:rFonts w:hint="eastAsia" w:ascii="仿宋_GB2312" w:eastAsia="仿宋_GB2312" w:cs="Times New Roman"/>
          <w:kern w:val="0"/>
          <w:sz w:val="32"/>
          <w:szCs w:val="32"/>
          <w:lang w:val="en-US" w:eastAsia="zh-CN"/>
        </w:rPr>
        <w:t>就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年丰台区政务公开工作要求，开展了以下工作：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楷体" w:hAnsi="楷体" w:eastAsia="楷体" w:cs="楷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lang w:val="en-US" w:eastAsia="zh-CN"/>
        </w:rPr>
        <w:t>1.全民健身活动蓬勃开展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ind w:left="0" w:leftChars="0" w:right="0" w:firstLine="640" w:firstLineChars="200"/>
        <w:textAlignment w:val="auto"/>
        <w:rPr>
          <w:rFonts w:hint="default" w:ascii="仿宋_GB2312" w:hAnsi="仿宋_GB2312" w:eastAsia="仿宋_GB2312" w:cs="仿宋_GB2312"/>
          <w:b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成功举办“丰彩城市活力季”——“丰BA”篮球超级杯赛、第三届京津冀汽车集结赛等9大活力赛事，开展2025全民太极大会、“武术进家庭”行动、第一届亚洲太极拳日展演活动、卢沟桥醒狮越野跑活动等精品赛事，同步上线体育场景消费地图。全年累计举办区级各类群众赛事活动517场次，受众人群22万人次。2025年，立足区域资源禀赋，精准打造特色“体育+”IP，依托河西地区山水交织的天然地理优势，举办京津冀汽车集结赛，将汽车赛事与乡村旅游、农产品展销、民俗体验深度绑定，打造“农文商旅体”五位一体的汽车品牌赛事活动，不仅为京津冀三地爱好者提供了高水平竞技平台，更直接带动沿线乡村餐饮、住宿、特产消费，为乡村振兴注入体育动能；打造“丰BA”篮球超级杯赛，凭借高观赏性、强互动性的赛事设计引爆区域热度。区体</w:t>
      </w:r>
      <w:r>
        <w:rPr>
          <w:rFonts w:hint="eastAsia" w:ascii="仿宋_GB2312" w:hAnsi="仿宋_GB2312" w:eastAsia="仿宋_GB2312" w:cs="仿宋_GB2312"/>
          <w:b w:val="0"/>
          <w:color w:val="000000"/>
          <w:kern w:val="2"/>
          <w:sz w:val="32"/>
          <w:szCs w:val="32"/>
          <w:lang w:val="en-US" w:eastAsia="zh-CN" w:bidi="ar-SA"/>
        </w:rPr>
        <w:t>育局已在“丰台体育”微信公众号发布“2025丰BA预选赛收官2000余名业余球员参赛点燃夏日激情”等相关活动信息。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2.</w:t>
      </w: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lang w:val="en-US" w:eastAsia="zh-CN"/>
        </w:rPr>
        <w:t>竞技体育成绩稳步提升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ind w:left="0" w:leftChars="0" w:right="0" w:firstLine="640" w:firstLineChars="200"/>
        <w:textAlignment w:val="auto"/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我区输送至北京花样滑冰队的张瑞阳以总成绩179.76分为中国队夺得米兰冬奥会花样滑冰女单唯一席位。射箭、跆拳道等多个项目在全国及北京市比赛中获得226枚奖牌，棒垒球项目取得了多项第一名。2025年注册运动员涉及项目37项，2986人。在十五届全运会中，丰台区输送到北京队的24名运动员参加了竞技体育组花样游泳、滑板、羽毛球、棒球、垒球、曲棍球、击剑、射箭8个项目的角逐，获得了2枚银牌、1枚铜牌。区体育局已在“丰台体育”微信公众号发布“喜报！丰台花滑小将张瑞阳勇夺米兰冬奥入场券”等相关赛事信息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3.政策解读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left"/>
        <w:rPr>
          <w:rFonts w:hint="eastAsia" w:ascii="仿宋_GB2312" w:hAnsi="Times New Roman" w:eastAsia="仿宋_GB2312" w:cs="Times New Roman"/>
          <w:b w:val="0"/>
          <w:bCs w:val="0"/>
          <w:kern w:val="44"/>
          <w:sz w:val="32"/>
          <w:szCs w:val="32"/>
          <w:lang w:val="en-US" w:eastAsia="zh-CN" w:bidi="ar"/>
        </w:rPr>
      </w:pPr>
      <w:r>
        <w:rPr>
          <w:rFonts w:hint="eastAsia" w:ascii="仿宋_GB2312" w:hAnsi="Times New Roman" w:eastAsia="仿宋_GB2312" w:cs="Times New Roman"/>
          <w:b w:val="0"/>
          <w:bCs w:val="0"/>
          <w:kern w:val="44"/>
          <w:sz w:val="32"/>
          <w:szCs w:val="32"/>
          <w:lang w:val="en-US" w:eastAsia="zh-CN" w:bidi="ar"/>
        </w:rPr>
        <w:t>2025年5月，在“丰台体育”微信公众号发布《应急管理有 “典” 可循！抢险救灾、安全生产……这些法条须记牢》，对《中华人民共和国民法典》针对应急和安全相关条款进行解读，对于广大体育爱好者，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b w:val="0"/>
          <w:bCs w:val="0"/>
          <w:kern w:val="44"/>
          <w:sz w:val="32"/>
          <w:szCs w:val="32"/>
          <w:lang w:val="en-US" w:eastAsia="zh-CN" w:bidi="ar"/>
        </w:rPr>
        <w:t>给予安全提示，做到依法依规，安全有保障。</w:t>
      </w:r>
    </w:p>
    <w:p>
      <w:pPr>
        <w:keepNext w:val="0"/>
        <w:keepLines w:val="0"/>
        <w:widowControl/>
        <w:suppressLineNumbers w:val="0"/>
        <w:jc w:val="left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>
      <w:pPr>
        <w:pStyle w:val="2"/>
        <w:rPr>
          <w:rFonts w:hint="eastAsia"/>
        </w:rPr>
      </w:pPr>
    </w:p>
    <w:p>
      <w:pPr>
        <w:pStyle w:val="2"/>
        <w:spacing w:line="560" w:lineRule="exact"/>
        <w:rPr>
          <w:rFonts w:hint="eastAsia"/>
        </w:rPr>
      </w:pPr>
    </w:p>
    <w:tbl>
      <w:tblPr>
        <w:tblStyle w:val="7"/>
        <w:tblW w:w="9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Cs w:val="21"/>
                <w:lang w:val="en-US" w:eastAsia="zh-CN" w:bidi="ar"/>
              </w:rPr>
              <w:t>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>
      <w:pPr>
        <w:pStyle w:val="2"/>
        <w:spacing w:line="560" w:lineRule="exact"/>
        <w:rPr>
          <w:rFonts w:hint="eastAsia"/>
        </w:rPr>
      </w:pPr>
    </w:p>
    <w:p>
      <w:pPr>
        <w:numPr>
          <w:ilvl w:val="0"/>
          <w:numId w:val="1"/>
        </w:numPr>
        <w:spacing w:line="560" w:lineRule="exact"/>
        <w:ind w:firstLine="64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>
      <w:pPr>
        <w:pStyle w:val="6"/>
        <w:widowControl/>
        <w:shd w:val="clear" w:color="auto" w:fill="FFFFFF"/>
        <w:spacing w:before="0" w:beforeAutospacing="0" w:after="0" w:afterAutospacing="0" w:line="560" w:lineRule="exact"/>
        <w:ind w:firstLine="420"/>
        <w:jc w:val="both"/>
        <w:rPr>
          <w:rFonts w:hint="eastAsia" w:ascii="宋体" w:hAnsi="宋体" w:cs="宋体"/>
          <w:color w:val="333333"/>
        </w:rPr>
      </w:pPr>
    </w:p>
    <w:tbl>
      <w:tblPr>
        <w:tblStyle w:val="7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</w:tbl>
    <w:p>
      <w:pPr>
        <w:pStyle w:val="2"/>
        <w:spacing w:line="560" w:lineRule="exact"/>
        <w:ind w:left="420" w:leftChars="200"/>
        <w:rPr>
          <w:rFonts w:hint="eastAsia"/>
        </w:rPr>
      </w:pPr>
    </w:p>
    <w:p>
      <w:pPr>
        <w:pStyle w:val="2"/>
        <w:spacing w:line="560" w:lineRule="exact"/>
        <w:ind w:left="420" w:leftChars="200"/>
        <w:rPr>
          <w:rFonts w:hint="eastAsia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>
      <w:pPr>
        <w:widowControl/>
        <w:spacing w:line="560" w:lineRule="exact"/>
        <w:jc w:val="center"/>
      </w:pPr>
    </w:p>
    <w:tbl>
      <w:tblPr>
        <w:tblStyle w:val="7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2</w:t>
            </w:r>
          </w:p>
        </w:tc>
      </w:tr>
    </w:tbl>
    <w:p>
      <w:pPr>
        <w:widowControl/>
        <w:spacing w:line="560" w:lineRule="exact"/>
        <w:jc w:val="left"/>
      </w:pPr>
    </w:p>
    <w:p>
      <w:pPr>
        <w:widowControl/>
        <w:spacing w:line="560" w:lineRule="exact"/>
        <w:ind w:firstLine="672" w:firstLineChars="200"/>
        <w:jc w:val="left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Times New Roman" w:eastAsia="仿宋_GB2312" w:cs="Times New Roman"/>
          <w:b w:val="0"/>
          <w:bCs w:val="0"/>
          <w:kern w:val="44"/>
          <w:sz w:val="32"/>
          <w:szCs w:val="32"/>
          <w:lang w:val="en-US" w:eastAsia="zh-CN" w:bidi="ar"/>
        </w:rPr>
      </w:pPr>
      <w:r>
        <w:rPr>
          <w:rFonts w:hint="eastAsia" w:ascii="仿宋_GB2312" w:hAnsi="Times New Roman" w:eastAsia="仿宋_GB2312" w:cs="Times New Roman"/>
          <w:b w:val="0"/>
          <w:bCs w:val="0"/>
          <w:kern w:val="44"/>
          <w:sz w:val="32"/>
          <w:szCs w:val="32"/>
          <w:lang w:val="en-US" w:eastAsia="zh-CN" w:bidi="ar"/>
        </w:rPr>
        <w:t>当前，体育局信息公开工作存在以下问题：思想认识不到位，部分工作人员对信息公开重要性认识不足，主动公开意识薄弱，存在怕公开、</w:t>
      </w:r>
      <w:r>
        <w:rPr>
          <w:rFonts w:hint="eastAsia" w:ascii="仿宋_GB2312" w:eastAsia="仿宋_GB2312" w:cs="Times New Roman"/>
          <w:b w:val="0"/>
          <w:bCs w:val="0"/>
          <w:kern w:val="44"/>
          <w:sz w:val="32"/>
          <w:szCs w:val="32"/>
          <w:lang w:val="en-US" w:eastAsia="zh-CN" w:bidi="ar"/>
        </w:rPr>
        <w:t>不愿</w:t>
      </w:r>
      <w:r>
        <w:rPr>
          <w:rFonts w:hint="eastAsia" w:ascii="仿宋_GB2312" w:hAnsi="Times New Roman" w:eastAsia="仿宋_GB2312" w:cs="Times New Roman"/>
          <w:b w:val="0"/>
          <w:bCs w:val="0"/>
          <w:kern w:val="44"/>
          <w:sz w:val="32"/>
          <w:szCs w:val="32"/>
          <w:lang w:val="en-US" w:eastAsia="zh-CN" w:bidi="ar"/>
        </w:rPr>
        <w:t>公开的倾向，影响</w:t>
      </w:r>
      <w:r>
        <w:rPr>
          <w:rFonts w:hint="eastAsia" w:ascii="仿宋_GB2312" w:eastAsia="仿宋_GB2312" w:cs="Times New Roman"/>
          <w:b w:val="0"/>
          <w:bCs w:val="0"/>
          <w:kern w:val="44"/>
          <w:sz w:val="32"/>
          <w:szCs w:val="32"/>
          <w:lang w:val="en-US" w:eastAsia="zh-CN" w:bidi="ar"/>
        </w:rPr>
        <w:t>信息公开</w:t>
      </w:r>
      <w:r>
        <w:rPr>
          <w:rFonts w:hint="eastAsia" w:ascii="仿宋_GB2312" w:hAnsi="Times New Roman" w:eastAsia="仿宋_GB2312" w:cs="Times New Roman"/>
          <w:b w:val="0"/>
          <w:bCs w:val="0"/>
          <w:kern w:val="44"/>
          <w:sz w:val="32"/>
          <w:szCs w:val="32"/>
          <w:lang w:val="en-US" w:eastAsia="zh-CN" w:bidi="ar"/>
        </w:rPr>
        <w:t>工作</w:t>
      </w:r>
      <w:r>
        <w:rPr>
          <w:rFonts w:hint="eastAsia" w:ascii="仿宋_GB2312" w:eastAsia="仿宋_GB2312" w:cs="Times New Roman"/>
          <w:b w:val="0"/>
          <w:bCs w:val="0"/>
          <w:kern w:val="44"/>
          <w:sz w:val="32"/>
          <w:szCs w:val="32"/>
          <w:lang w:val="en-US" w:eastAsia="zh-CN" w:bidi="ar"/>
        </w:rPr>
        <w:t>的</w:t>
      </w:r>
      <w:r>
        <w:rPr>
          <w:rFonts w:hint="eastAsia" w:ascii="仿宋_GB2312" w:hAnsi="Times New Roman" w:eastAsia="仿宋_GB2312" w:cs="Times New Roman"/>
          <w:b w:val="0"/>
          <w:bCs w:val="0"/>
          <w:kern w:val="44"/>
          <w:sz w:val="32"/>
          <w:szCs w:val="32"/>
          <w:lang w:val="en-US" w:eastAsia="zh-CN" w:bidi="ar"/>
        </w:rPr>
        <w:t>落实。针对</w:t>
      </w:r>
      <w:r>
        <w:rPr>
          <w:rFonts w:hint="eastAsia" w:ascii="仿宋_GB2312" w:eastAsia="仿宋_GB2312" w:cs="Times New Roman"/>
          <w:b w:val="0"/>
          <w:bCs w:val="0"/>
          <w:kern w:val="44"/>
          <w:sz w:val="32"/>
          <w:szCs w:val="32"/>
          <w:lang w:val="en-US" w:eastAsia="zh-CN" w:bidi="ar"/>
        </w:rPr>
        <w:t>此类</w:t>
      </w:r>
      <w:r>
        <w:rPr>
          <w:rFonts w:hint="eastAsia" w:ascii="仿宋_GB2312" w:hAnsi="Times New Roman" w:eastAsia="仿宋_GB2312" w:cs="Times New Roman"/>
          <w:b w:val="0"/>
          <w:bCs w:val="0"/>
          <w:kern w:val="44"/>
          <w:sz w:val="32"/>
          <w:szCs w:val="32"/>
          <w:lang w:val="en-US" w:eastAsia="zh-CN" w:bidi="ar"/>
        </w:rPr>
        <w:t>问题，体育局将采取以下改进措施：一是加强教育培训，组织工作人员参加业务培训，提升信息公开意识和能力，确保政策理解准确、执行到位。二是优化工作机制，</w:t>
      </w:r>
      <w:r>
        <w:rPr>
          <w:rFonts w:hint="eastAsia" w:ascii="仿宋_GB2312" w:eastAsia="仿宋_GB2312" w:cs="Times New Roman"/>
          <w:b w:val="0"/>
          <w:bCs w:val="0"/>
          <w:kern w:val="44"/>
          <w:sz w:val="32"/>
          <w:szCs w:val="32"/>
          <w:lang w:val="en-US" w:eastAsia="zh-CN" w:bidi="ar"/>
        </w:rPr>
        <w:t>进一步</w:t>
      </w:r>
      <w:r>
        <w:rPr>
          <w:rFonts w:hint="eastAsia" w:ascii="仿宋_GB2312" w:hAnsi="Times New Roman" w:eastAsia="仿宋_GB2312" w:cs="Times New Roman"/>
          <w:b w:val="0"/>
          <w:bCs w:val="0"/>
          <w:kern w:val="44"/>
          <w:sz w:val="32"/>
          <w:szCs w:val="32"/>
          <w:lang w:val="en-US" w:eastAsia="zh-CN" w:bidi="ar"/>
        </w:rPr>
        <w:t>明确责任科室和人员，定期检查更新情况，确保信息及时发布。三是丰富公开形式，利用图文、视频等多样化方式解读政策，增强公开内容的可读性和吸引力。</w:t>
      </w:r>
    </w:p>
    <w:p>
      <w:pPr>
        <w:widowControl/>
        <w:spacing w:line="560" w:lineRule="exact"/>
        <w:ind w:firstLine="675"/>
        <w:jc w:val="left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发出收费通知的件数和总金额以及实际收取的总金额均为0。</w:t>
      </w:r>
    </w:p>
    <w:p>
      <w:pPr>
        <w:pStyle w:val="2"/>
        <w:spacing w:line="560" w:lineRule="exact"/>
        <w:rPr>
          <w:rFonts w:hint="eastAsia"/>
          <w:highlight w:val="none"/>
        </w:rPr>
      </w:pP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>
      <w:pPr>
        <w:pStyle w:val="2"/>
        <w:spacing w:line="560" w:lineRule="exact"/>
        <w:rPr>
          <w:rFonts w:hint="eastAsia"/>
          <w:highlight w:val="none"/>
        </w:rPr>
      </w:pPr>
    </w:p>
    <w:p>
      <w:pPr>
        <w:pStyle w:val="2"/>
        <w:spacing w:line="560" w:lineRule="exact"/>
        <w:rPr>
          <w:rFonts w:hint="eastAsia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pPr>
        <w:ind w:left="-1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FC300A"/>
    <w:rsid w:val="03335E64"/>
    <w:rsid w:val="1D85059A"/>
    <w:rsid w:val="47675A64"/>
    <w:rsid w:val="48AD6B70"/>
    <w:rsid w:val="4BBA0128"/>
    <w:rsid w:val="51133EDF"/>
    <w:rsid w:val="61FC300A"/>
    <w:rsid w:val="6F6E2B74"/>
    <w:rsid w:val="71211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qFormat/>
    <w:uiPriority w:val="0"/>
    <w:rPr>
      <w:rFonts w:ascii="宋体" w:hAnsi="Courier New"/>
    </w:rPr>
  </w:style>
  <w:style w:type="paragraph" w:styleId="4">
    <w:name w:val="Normal Indent"/>
    <w:basedOn w:val="1"/>
    <w:qFormat/>
    <w:uiPriority w:val="0"/>
    <w:pPr>
      <w:ind w:firstLine="200" w:firstLineChars="200"/>
    </w:pPr>
  </w:style>
  <w:style w:type="paragraph" w:styleId="5">
    <w:name w:val="Body Text"/>
    <w:basedOn w:val="1"/>
    <w:next w:val="1"/>
    <w:qFormat/>
    <w:uiPriority w:val="1"/>
    <w:rPr>
      <w:sz w:val="32"/>
      <w:szCs w:val="32"/>
    </w:rPr>
  </w:style>
  <w:style w:type="paragraph" w:styleId="6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2025-01-06T09:38:00Z</dcterms:created>
  <dc:creator>lc</dc:creator>
  <cp:lastModifiedBy>赵艳涛</cp:lastModifiedBy>
  <cp:lastPrinted>2026-01-13T02:57:00Z</cp:lastPrinted>
  <dcterms:modified xsi:type="dcterms:W3CDTF">2026-01-16T08:12:50Z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7F305C00FB13434587D1212D9AC302E6</vt:lpwstr>
  </property>
</Properties>
</file>