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2015年丰台区宛平城地区办事处</w:t>
      </w:r>
    </w:p>
    <w:p>
      <w:pPr>
        <w:spacing w:line="54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政府信息公开年度报告</w:t>
      </w:r>
    </w:p>
    <w:p>
      <w:pPr>
        <w:spacing w:line="540" w:lineRule="exact"/>
        <w:jc w:val="center"/>
        <w:rPr>
          <w:rFonts w:ascii="仿宋" w:hAnsi="仿宋" w:eastAsia="仿宋"/>
          <w:b/>
          <w:sz w:val="32"/>
          <w:szCs w:val="32"/>
        </w:rPr>
      </w:pPr>
      <w:r>
        <w:rPr>
          <w:rFonts w:hint="eastAsia" w:ascii="方正小标宋简体" w:hAnsi="仿宋" w:eastAsia="方正小标宋简体"/>
          <w:sz w:val="36"/>
          <w:szCs w:val="36"/>
        </w:rPr>
        <w:t>（2016年3月）</w:t>
      </w:r>
    </w:p>
    <w:p>
      <w:pPr>
        <w:spacing w:line="540" w:lineRule="exact"/>
        <w:rPr>
          <w:rFonts w:ascii="仿宋_GB2312" w:hAnsi="仿宋" w:eastAsia="仿宋_GB2312"/>
          <w:b/>
          <w:sz w:val="32"/>
          <w:szCs w:val="32"/>
        </w:rPr>
      </w:pPr>
    </w:p>
    <w:p>
      <w:pPr>
        <w:spacing w:line="540" w:lineRule="exact"/>
        <w:jc w:val="center"/>
        <w:rPr>
          <w:rFonts w:ascii="黑体" w:hAnsi="仿宋" w:eastAsia="黑体"/>
          <w:sz w:val="32"/>
          <w:szCs w:val="32"/>
        </w:rPr>
      </w:pPr>
      <w:r>
        <w:rPr>
          <w:rFonts w:hint="eastAsia" w:ascii="黑体" w:hAnsi="仿宋" w:eastAsia="黑体"/>
          <w:sz w:val="32"/>
          <w:szCs w:val="32"/>
        </w:rPr>
        <w:t>引言</w:t>
      </w:r>
    </w:p>
    <w:p>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本报告是根据《中华人民共和国政府信息公开条例》（以下简称《条例》）要求，由北京市丰台区宛平城地区办事处编制的2015年度政府信息公开年度报告。</w:t>
      </w:r>
    </w:p>
    <w:p>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全文包括年度工作开展情况，主动公开政府信息的情况，依申请公开政府信息和不予公开政府信息的情况，因政府信息公开申请行政复议、提起行政诉讼的情况，政府信息公开的收费及免除费用情况，政府信</w:t>
      </w:r>
      <w:bookmarkStart w:id="0" w:name="_GoBack"/>
      <w:bookmarkEnd w:id="0"/>
      <w:r>
        <w:rPr>
          <w:rFonts w:hint="eastAsia" w:ascii="仿宋_GB2312" w:hAnsi="仿宋" w:eastAsia="仿宋_GB2312"/>
          <w:sz w:val="32"/>
          <w:szCs w:val="32"/>
        </w:rPr>
        <w:t>息公开工作存在的主要问题、改进情况和其他需要报告的事项。报告后附相关的说明。</w:t>
      </w:r>
    </w:p>
    <w:p>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我地区政府网站(</w:t>
      </w:r>
      <w:r>
        <w:rPr>
          <w:rFonts w:ascii="仿宋" w:hAnsi="仿宋" w:eastAsia="仿宋" w:cs="仿宋"/>
          <w:color w:val="333333"/>
          <w:sz w:val="32"/>
          <w:szCs w:val="32"/>
          <w:u w:val="none"/>
        </w:rPr>
        <w:fldChar w:fldCharType="begin"/>
      </w:r>
      <w:r>
        <w:rPr>
          <w:rFonts w:ascii="仿宋" w:hAnsi="仿宋" w:eastAsia="仿宋" w:cs="仿宋"/>
          <w:color w:val="333333"/>
          <w:sz w:val="32"/>
          <w:szCs w:val="32"/>
          <w:u w:val="none"/>
        </w:rPr>
        <w:instrText xml:space="preserve"> HYPERLINK "http://www.bjft.gov.cn/ftq/c100041/xxgkzn.shtml" </w:instrText>
      </w:r>
      <w:r>
        <w:rPr>
          <w:rFonts w:ascii="仿宋" w:hAnsi="仿宋" w:eastAsia="仿宋" w:cs="仿宋"/>
          <w:color w:val="333333"/>
          <w:sz w:val="32"/>
          <w:szCs w:val="32"/>
          <w:u w:val="none"/>
        </w:rPr>
        <w:fldChar w:fldCharType="separate"/>
      </w:r>
      <w:r>
        <w:rPr>
          <w:rStyle w:val="7"/>
          <w:rFonts w:hint="eastAsia" w:ascii="仿宋" w:hAnsi="仿宋" w:eastAsia="仿宋" w:cs="仿宋"/>
          <w:color w:val="333333"/>
          <w:sz w:val="32"/>
          <w:szCs w:val="32"/>
          <w:u w:val="none"/>
        </w:rPr>
        <w:t>http://www.bjft.gov.cn/ftq/c100041/xxgkzn.shtml</w:t>
      </w:r>
      <w:r>
        <w:rPr>
          <w:rFonts w:hint="eastAsia" w:ascii="仿宋" w:hAnsi="仿宋" w:eastAsia="仿宋" w:cs="仿宋"/>
          <w:color w:val="333333"/>
          <w:sz w:val="32"/>
          <w:szCs w:val="32"/>
          <w:u w:val="none"/>
        </w:rPr>
        <w:fldChar w:fldCharType="end"/>
      </w:r>
      <w:r>
        <w:rPr>
          <w:rFonts w:ascii="仿宋_GB2312" w:hAnsi="仿宋" w:eastAsia="仿宋_GB2312"/>
          <w:sz w:val="32"/>
          <w:szCs w:val="32"/>
        </w:rPr>
        <w:t>)</w:t>
      </w:r>
      <w:r>
        <w:rPr>
          <w:rFonts w:hint="eastAsia" w:ascii="仿宋_GB2312" w:hAnsi="仿宋" w:eastAsia="仿宋_GB2312"/>
          <w:sz w:val="32"/>
          <w:szCs w:val="32"/>
        </w:rPr>
        <w:t>上可下载本报告的电子版。如对本报告有任何疑问，请联系：83215981。</w:t>
      </w:r>
    </w:p>
    <w:p>
      <w:pPr>
        <w:spacing w:line="540" w:lineRule="exact"/>
        <w:jc w:val="center"/>
        <w:rPr>
          <w:rFonts w:ascii="黑体" w:hAnsi="仿宋" w:eastAsia="黑体"/>
          <w:sz w:val="32"/>
          <w:szCs w:val="32"/>
        </w:rPr>
      </w:pPr>
      <w:r>
        <w:rPr>
          <w:rFonts w:hint="eastAsia" w:ascii="黑体" w:hAnsi="仿宋" w:eastAsia="黑体"/>
          <w:sz w:val="32"/>
          <w:szCs w:val="32"/>
        </w:rPr>
        <w:t>一、概述</w:t>
      </w:r>
    </w:p>
    <w:p>
      <w:pPr>
        <w:widowControl/>
        <w:spacing w:line="560" w:lineRule="exact"/>
        <w:ind w:firstLine="640"/>
        <w:rPr>
          <w:rFonts w:ascii="仿宋_GB2312" w:hAnsi="仿宋" w:eastAsia="仿宋_GB2312"/>
          <w:sz w:val="32"/>
          <w:szCs w:val="32"/>
        </w:rPr>
      </w:pPr>
      <w:r>
        <w:rPr>
          <w:rFonts w:ascii="仿宋_GB2312" w:hAnsi="仿宋" w:eastAsia="仿宋_GB2312"/>
          <w:sz w:val="32"/>
          <w:szCs w:val="32"/>
        </w:rPr>
        <w:t>宛平城地区面积42.67平方公里，</w:t>
      </w:r>
      <w:r>
        <w:rPr>
          <w:rFonts w:hint="eastAsia" w:ascii="仿宋_GB2312" w:hAnsi="仿宋" w:eastAsia="仿宋_GB2312"/>
          <w:sz w:val="32"/>
          <w:szCs w:val="32"/>
        </w:rPr>
        <w:t>下辖8个社区、2个行政村，辖区有居住人口（管辖户）19753户、50024人。地区农居混杂，属于典型的城乡结合部,</w:t>
      </w:r>
      <w:r>
        <w:rPr>
          <w:rFonts w:ascii="仿宋_GB2312" w:hAnsi="仿宋" w:eastAsia="仿宋_GB2312"/>
          <w:sz w:val="32"/>
          <w:szCs w:val="32"/>
        </w:rPr>
        <w:t>也是卢沟桥、宛平城、中国人民抗日战争纪念馆、抗日战争雕塑园等爱国主义教育基地的所在地。</w:t>
      </w:r>
    </w:p>
    <w:p>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在区委、区政府领导以及区信息公开办等部门的指导帮助下，宛平城地区办事处认真贯彻落实《中华人民共和国政府信息公开条例》，将政府信息公开工作列入重要议事日程。我地区及时传达贯彻区一系列关于做好政府信息公开工作的文件精神，研究部署地区政府信息公开工作，形成领导高度重视，组织机构健全，职责分工明确，主动公开意识增强，完善公开形式，规范公开流程，公开内容重点突出的良好态势。办事处建立了政府信息公开工作领导小组，并确立了主要领导负总责，分管领导主抓，办公室具体负责，各科室密切配合的工作机制，将政府信息公开工作纳入本部门绩效考核体系，切实推动政府信息公开工作深入开展。</w:t>
      </w:r>
    </w:p>
    <w:p>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为推进政府信息公开工作，提升社会公众关注度和参与度，保障公众知情权。2015年，办事处充分利用互联网等方式广泛宣传，建立信息公开平台机制，畅通政府网站、微博等网上公开渠道，建立舆情收集回应机制和解读回应机制。按照《政府信息公开条例》的要求，政务信息除依法免于公开的以外，凡与经济、社会管理和公共服务相关的政务信息全部进行公开。坚持“公开为原则，不公开为例外”清理信息公开内容，不断建设完善信息公开的内容和渠道。经常召开信息公开工作会议，并请法律顾问到场讨论工作。</w:t>
      </w:r>
    </w:p>
    <w:p>
      <w:pPr>
        <w:spacing w:line="540" w:lineRule="exact"/>
        <w:jc w:val="center"/>
        <w:rPr>
          <w:rFonts w:ascii="黑体" w:hAnsi="仿宋" w:eastAsia="黑体"/>
          <w:sz w:val="32"/>
          <w:szCs w:val="32"/>
        </w:rPr>
      </w:pPr>
      <w:r>
        <w:rPr>
          <w:rFonts w:hint="eastAsia" w:ascii="黑体" w:hAnsi="仿宋" w:eastAsia="黑体"/>
          <w:sz w:val="32"/>
          <w:szCs w:val="32"/>
        </w:rPr>
        <w:t>二、政府信息主动公开情况</w:t>
      </w:r>
    </w:p>
    <w:p>
      <w:pPr>
        <w:spacing w:line="540" w:lineRule="exact"/>
        <w:ind w:firstLine="640" w:firstLineChars="200"/>
        <w:rPr>
          <w:rFonts w:ascii="仿宋_GB2312" w:hAnsi="仿宋" w:eastAsia="仿宋_GB2312"/>
          <w:sz w:val="32"/>
          <w:szCs w:val="32"/>
        </w:rPr>
      </w:pPr>
      <w:r>
        <w:rPr>
          <w:rFonts w:hint="eastAsia" w:ascii="仿宋_GB2312" w:hAnsi="仿宋" w:eastAsia="仿宋_GB2312"/>
          <w:sz w:val="32"/>
          <w:szCs w:val="32"/>
        </w:rPr>
        <w:t>（一）主动公开情况</w:t>
      </w:r>
    </w:p>
    <w:p>
      <w:pPr>
        <w:widowControl/>
        <w:spacing w:line="540" w:lineRule="exact"/>
        <w:ind w:firstLine="640"/>
        <w:rPr>
          <w:rFonts w:ascii="仿宋_GB2312" w:hAnsi="仿宋" w:eastAsia="仿宋_GB2312" w:cs="Arial"/>
          <w:kern w:val="0"/>
          <w:sz w:val="32"/>
          <w:szCs w:val="32"/>
        </w:rPr>
      </w:pPr>
      <w:r>
        <w:rPr>
          <w:rFonts w:hint="eastAsia" w:ascii="仿宋_GB2312" w:hAnsi="仿宋" w:eastAsia="仿宋_GB2312" w:cs="Arial"/>
          <w:kern w:val="0"/>
          <w:sz w:val="32"/>
          <w:szCs w:val="32"/>
        </w:rPr>
        <w:t>办事处加大力度维护、建设政府网站，主页内容更加丰富，更加符合政务公开要求，成为信息公开的一个平台。网站设置有专门的政府信息公开栏目，并将领导分工、机构设置、政策法规、党建工作、政务公开，以及办事指南、工作动态等信息及时通过外网网站向社会进行公开。</w:t>
      </w:r>
    </w:p>
    <w:p>
      <w:pPr>
        <w:widowControl/>
        <w:spacing w:line="540" w:lineRule="exact"/>
        <w:ind w:firstLine="640"/>
        <w:rPr>
          <w:rFonts w:ascii="仿宋_GB2312" w:hAnsi="仿宋" w:eastAsia="仿宋_GB2312" w:cs="Arial"/>
          <w:kern w:val="0"/>
          <w:sz w:val="32"/>
          <w:szCs w:val="32"/>
        </w:rPr>
      </w:pPr>
      <w:r>
        <w:rPr>
          <w:rFonts w:hint="eastAsia" w:ascii="仿宋_GB2312" w:hAnsi="仿宋" w:eastAsia="仿宋_GB2312" w:cs="Arial"/>
          <w:kern w:val="0"/>
          <w:sz w:val="32"/>
          <w:szCs w:val="32"/>
        </w:rPr>
        <w:t>我地区主动公开政府信息1420条，其中全文电子化率达100%。2015年度办事处门户网站公开政务公开信息9条，党务公开10条，便民服务55条，通知公告7条，工作动态809条，社区动态516条，社会创新管理9条，文化旅游4条，法律法规1条。尤其在关乎民生的两限房、廉租房、低保人员等必须公开的信息上，办事处、社区、村都及时按要求进行公开，受到群众好评。</w:t>
      </w:r>
    </w:p>
    <w:p>
      <w:pPr>
        <w:widowControl/>
        <w:spacing w:line="540" w:lineRule="exact"/>
        <w:ind w:firstLine="640"/>
        <w:rPr>
          <w:rFonts w:ascii="仿宋_GB2312" w:hAnsi="仿宋" w:eastAsia="仿宋_GB2312" w:cs="Arial"/>
          <w:kern w:val="0"/>
          <w:sz w:val="32"/>
          <w:szCs w:val="32"/>
        </w:rPr>
      </w:pPr>
      <w:r>
        <w:rPr>
          <w:rFonts w:hint="eastAsia" w:ascii="仿宋_GB2312" w:hAnsi="仿宋" w:eastAsia="仿宋_GB2312" w:cs="Arial"/>
          <w:kern w:val="0"/>
          <w:sz w:val="32"/>
          <w:szCs w:val="32"/>
        </w:rPr>
        <w:t>（二）公开形式</w:t>
      </w:r>
    </w:p>
    <w:p>
      <w:pPr>
        <w:widowControl/>
        <w:spacing w:line="540" w:lineRule="exact"/>
        <w:ind w:firstLine="640"/>
        <w:rPr>
          <w:rFonts w:ascii="仿宋_GB2312" w:hAnsi="仿宋" w:eastAsia="仿宋_GB2312" w:cs="Arial"/>
          <w:kern w:val="0"/>
          <w:sz w:val="32"/>
          <w:szCs w:val="32"/>
        </w:rPr>
      </w:pPr>
      <w:r>
        <w:rPr>
          <w:rFonts w:hint="eastAsia" w:ascii="仿宋_GB2312" w:hAnsi="仿宋" w:eastAsia="仿宋_GB2312" w:cs="Arial"/>
          <w:kern w:val="0"/>
          <w:sz w:val="32"/>
          <w:szCs w:val="32"/>
        </w:rPr>
        <w:t>公开政府信息的形式多样化、人性化。在办公区内建立了专门的政务公开栏、服务指南、电子触摸屏、公务员公示栏、党务公开栏。在信息公开公共查阅点设立专人负责，设立了引导牌、桌椅、饮水机、一次性纸杯等，为群众查看政府信息提供方便。在政府网站建立了专门的信息公开栏目将政府信息进行及时公开。此外，办事处开设名为“卢沟晓月宛平城”的官方微博，2015年发微博289条，搭起了对外宣传政策的平台，突出了为民服务的内容，增加了机关工作透明度，提高了为民服务的意识和水平，密切了政府部门与群众的关系。</w:t>
      </w:r>
    </w:p>
    <w:p>
      <w:pPr>
        <w:widowControl/>
        <w:spacing w:line="540" w:lineRule="exact"/>
        <w:ind w:firstLine="640"/>
        <w:rPr>
          <w:rFonts w:ascii="仿宋_GB2312" w:hAnsi="仿宋" w:eastAsia="仿宋_GB2312" w:cs="Arial"/>
          <w:kern w:val="0"/>
          <w:sz w:val="32"/>
          <w:szCs w:val="32"/>
        </w:rPr>
      </w:pPr>
      <w:r>
        <w:rPr>
          <w:rFonts w:hint="eastAsia" w:ascii="仿宋_GB2312" w:hAnsi="仿宋" w:eastAsia="仿宋_GB2312" w:cs="Arial"/>
          <w:kern w:val="0"/>
          <w:sz w:val="32"/>
          <w:szCs w:val="32"/>
        </w:rPr>
        <w:t>在主动公开政府信息的程序上，明确了各科室、各部门负责人要对公开内容进行初审后再报办公室。经办公室主任审核后报主管主任审批后由全代办进行公开，如对内容有疑问的，主管主任报主任审批后再公开。</w:t>
      </w:r>
    </w:p>
    <w:p>
      <w:pPr>
        <w:spacing w:line="540" w:lineRule="exact"/>
        <w:jc w:val="center"/>
        <w:rPr>
          <w:rFonts w:ascii="黑体" w:hAnsi="仿宋" w:eastAsia="黑体"/>
          <w:sz w:val="32"/>
          <w:szCs w:val="32"/>
        </w:rPr>
      </w:pPr>
      <w:r>
        <w:rPr>
          <w:rFonts w:hint="eastAsia" w:ascii="黑体" w:hAnsi="仿宋" w:eastAsia="黑体"/>
          <w:sz w:val="32"/>
          <w:szCs w:val="32"/>
        </w:rPr>
        <w:t>三、政府信息依申请公开情况</w:t>
      </w:r>
    </w:p>
    <w:p>
      <w:pPr>
        <w:widowControl/>
        <w:spacing w:line="540" w:lineRule="exact"/>
        <w:ind w:firstLine="640"/>
        <w:rPr>
          <w:rFonts w:ascii="仿宋_GB2312" w:hAnsi="仿宋" w:eastAsia="仿宋_GB2312" w:cs="Arial"/>
          <w:kern w:val="0"/>
          <w:sz w:val="32"/>
          <w:szCs w:val="32"/>
        </w:rPr>
      </w:pPr>
      <w:r>
        <w:rPr>
          <w:rFonts w:hint="eastAsia" w:ascii="仿宋_GB2312" w:hAnsi="仿宋" w:eastAsia="仿宋_GB2312" w:cs="Arial"/>
          <w:kern w:val="0"/>
          <w:sz w:val="32"/>
          <w:szCs w:val="32"/>
        </w:rPr>
        <w:t>（一）申请、答复情况</w:t>
      </w:r>
    </w:p>
    <w:p>
      <w:pPr>
        <w:widowControl/>
        <w:spacing w:line="540" w:lineRule="exact"/>
        <w:ind w:firstLine="640"/>
        <w:rPr>
          <w:rFonts w:ascii="仿宋_GB2312" w:hAnsi="仿宋" w:eastAsia="仿宋_GB2312" w:cs="Arial"/>
          <w:kern w:val="0"/>
          <w:sz w:val="32"/>
          <w:szCs w:val="32"/>
        </w:rPr>
      </w:pPr>
      <w:r>
        <w:rPr>
          <w:rFonts w:hint="eastAsia" w:ascii="仿宋_GB2312" w:hAnsi="仿宋" w:eastAsia="仿宋_GB2312" w:cs="Arial"/>
          <w:kern w:val="0"/>
          <w:sz w:val="32"/>
          <w:szCs w:val="32"/>
        </w:rPr>
        <w:t>2015年，办事处共收到政府信息依申请公开件16件，办事处按照程序，履行了各项义务、职责，按规定完成好答复工作。</w:t>
      </w:r>
    </w:p>
    <w:p>
      <w:pPr>
        <w:widowControl/>
        <w:spacing w:line="540" w:lineRule="exact"/>
        <w:ind w:firstLine="640"/>
        <w:rPr>
          <w:rFonts w:ascii="仿宋_GB2312" w:hAnsi="仿宋" w:eastAsia="仿宋_GB2312" w:cs="Arial"/>
          <w:kern w:val="0"/>
          <w:sz w:val="32"/>
          <w:szCs w:val="32"/>
        </w:rPr>
      </w:pPr>
      <w:r>
        <w:rPr>
          <w:rFonts w:hint="eastAsia" w:ascii="仿宋_GB2312" w:hAnsi="仿宋" w:eastAsia="仿宋_GB2312" w:cs="Arial"/>
          <w:kern w:val="0"/>
          <w:sz w:val="32"/>
          <w:szCs w:val="32"/>
        </w:rPr>
        <w:t>（二）依申请公开政府信息收费情况</w:t>
      </w:r>
    </w:p>
    <w:p>
      <w:pPr>
        <w:widowControl/>
        <w:spacing w:line="540" w:lineRule="exact"/>
        <w:ind w:firstLine="640"/>
        <w:rPr>
          <w:rFonts w:ascii="仿宋_GB2312" w:hAnsi="仿宋" w:eastAsia="仿宋_GB2312" w:cs="Arial"/>
          <w:kern w:val="0"/>
          <w:sz w:val="32"/>
          <w:szCs w:val="32"/>
        </w:rPr>
      </w:pPr>
      <w:r>
        <w:rPr>
          <w:rFonts w:hint="eastAsia" w:ascii="仿宋_GB2312" w:hAnsi="仿宋" w:eastAsia="仿宋_GB2312" w:cs="Arial"/>
          <w:kern w:val="0"/>
          <w:sz w:val="32"/>
          <w:szCs w:val="32"/>
        </w:rPr>
        <w:t>我地区针对政府信息公开收费0元。</w:t>
      </w:r>
    </w:p>
    <w:p>
      <w:pPr>
        <w:spacing w:line="540" w:lineRule="exact"/>
        <w:jc w:val="center"/>
        <w:rPr>
          <w:rFonts w:ascii="黑体" w:hAnsi="仿宋" w:eastAsia="黑体"/>
          <w:sz w:val="32"/>
          <w:szCs w:val="32"/>
        </w:rPr>
      </w:pPr>
      <w:r>
        <w:rPr>
          <w:rFonts w:hint="eastAsia" w:ascii="黑体" w:hAnsi="仿宋" w:eastAsia="黑体"/>
          <w:sz w:val="32"/>
          <w:szCs w:val="32"/>
        </w:rPr>
        <w:t>四、行政复议、行政诉讼情况</w:t>
      </w:r>
    </w:p>
    <w:p>
      <w:pPr>
        <w:widowControl/>
        <w:spacing w:line="540" w:lineRule="exact"/>
        <w:ind w:firstLine="640"/>
        <w:rPr>
          <w:rFonts w:ascii="仿宋_GB2312" w:hAnsi="仿宋" w:eastAsia="仿宋_GB2312" w:cs="Arial"/>
          <w:kern w:val="0"/>
          <w:sz w:val="32"/>
          <w:szCs w:val="32"/>
        </w:rPr>
      </w:pPr>
      <w:r>
        <w:rPr>
          <w:rFonts w:hint="eastAsia" w:ascii="仿宋_GB2312" w:hAnsi="仿宋" w:eastAsia="仿宋_GB2312" w:cs="Arial"/>
          <w:kern w:val="0"/>
          <w:sz w:val="32"/>
          <w:szCs w:val="32"/>
        </w:rPr>
        <w:t>2015年，针对我地区政府信息公开的行政复议件共15件，维持具体行政行为数8件，被依法纠错数7件。</w:t>
      </w:r>
    </w:p>
    <w:p>
      <w:pPr>
        <w:widowControl/>
        <w:spacing w:line="540" w:lineRule="exact"/>
        <w:ind w:firstLine="640" w:firstLineChars="200"/>
        <w:rPr>
          <w:rFonts w:ascii="仿宋_GB2312" w:hAnsi="仿宋" w:eastAsia="仿宋_GB2312" w:cs="Arial"/>
          <w:kern w:val="0"/>
          <w:sz w:val="32"/>
          <w:szCs w:val="32"/>
        </w:rPr>
      </w:pPr>
      <w:r>
        <w:rPr>
          <w:rFonts w:hint="eastAsia" w:ascii="仿宋_GB2312" w:hAnsi="仿宋" w:eastAsia="仿宋_GB2312" w:cs="Arial"/>
          <w:kern w:val="0"/>
          <w:sz w:val="32"/>
          <w:szCs w:val="32"/>
        </w:rPr>
        <w:t>针对我地区政府信息公开的行政诉讼件1件，法院予以维持。</w:t>
      </w:r>
      <w:r>
        <w:rPr>
          <w:rFonts w:ascii="仿宋_GB2312" w:hAnsi="仿宋" w:eastAsia="仿宋_GB2312" w:cs="Arial"/>
          <w:kern w:val="0"/>
          <w:sz w:val="32"/>
          <w:szCs w:val="32"/>
        </w:rPr>
        <w:t xml:space="preserve"> </w:t>
      </w:r>
    </w:p>
    <w:p>
      <w:pPr>
        <w:widowControl/>
        <w:spacing w:line="540" w:lineRule="exact"/>
        <w:jc w:val="center"/>
        <w:rPr>
          <w:rFonts w:ascii="黑体" w:hAnsi="仿宋" w:eastAsia="黑体" w:cs="Arial"/>
          <w:kern w:val="0"/>
          <w:sz w:val="32"/>
          <w:szCs w:val="32"/>
        </w:rPr>
      </w:pPr>
      <w:r>
        <w:rPr>
          <w:rFonts w:hint="eastAsia" w:ascii="黑体" w:hAnsi="仿宋" w:eastAsia="黑体" w:cs="Arial"/>
          <w:kern w:val="0"/>
          <w:sz w:val="32"/>
          <w:szCs w:val="32"/>
        </w:rPr>
        <w:t>五、政府信息公开工作主要问题及改进情况</w:t>
      </w:r>
    </w:p>
    <w:p>
      <w:pPr>
        <w:widowControl/>
        <w:shd w:val="clear" w:color="auto" w:fill="FFFFFF"/>
        <w:spacing w:line="540" w:lineRule="exact"/>
        <w:ind w:firstLine="640"/>
        <w:jc w:val="left"/>
        <w:rPr>
          <w:rFonts w:ascii="仿宋_GB2312" w:hAnsi="仿宋" w:eastAsia="仿宋_GB2312" w:cs="Arial"/>
          <w:kern w:val="0"/>
          <w:sz w:val="32"/>
          <w:szCs w:val="32"/>
        </w:rPr>
      </w:pPr>
      <w:r>
        <w:rPr>
          <w:rFonts w:hint="eastAsia" w:ascii="仿宋_GB2312" w:hAnsi="仿宋" w:eastAsia="仿宋_GB2312" w:cs="Arial"/>
          <w:kern w:val="0"/>
          <w:sz w:val="32"/>
          <w:szCs w:val="32"/>
        </w:rPr>
        <w:t>宛平城地区办事处信息公开和政务公开工作在区政府办公室的指导下，虽然取得了一些的成效，但是也存在一定的问题，主要表现在两个方面：</w:t>
      </w:r>
    </w:p>
    <w:p>
      <w:pPr>
        <w:widowControl/>
        <w:shd w:val="clear" w:color="auto" w:fill="FFFFFF"/>
        <w:spacing w:line="540" w:lineRule="exact"/>
        <w:ind w:firstLine="640"/>
        <w:jc w:val="left"/>
        <w:rPr>
          <w:rFonts w:ascii="仿宋_GB2312" w:hAnsi="仿宋" w:eastAsia="仿宋_GB2312" w:cs="Arial"/>
          <w:kern w:val="0"/>
          <w:sz w:val="32"/>
          <w:szCs w:val="32"/>
        </w:rPr>
      </w:pPr>
      <w:r>
        <w:rPr>
          <w:rFonts w:hint="eastAsia" w:ascii="仿宋_GB2312" w:hAnsi="仿宋" w:eastAsia="仿宋_GB2312" w:cs="Arial"/>
          <w:kern w:val="0"/>
          <w:sz w:val="32"/>
          <w:szCs w:val="32"/>
        </w:rPr>
        <w:t xml:space="preserve">一是有些机关工作人员对信息公开工作认识还不到位，导致主动公开的政府信息与公众的需求还存在一定差距，需要在今后工作中不断加强意识。二是因历史原因，街乡合并前档案资料不完善，在开展依申请公开答复工作时有些被动，需加强合力，逐步减少政府信息盲点。 </w:t>
      </w:r>
    </w:p>
    <w:p>
      <w:pPr>
        <w:widowControl/>
        <w:shd w:val="clear" w:color="auto" w:fill="FFFFFF"/>
        <w:spacing w:line="540" w:lineRule="exact"/>
        <w:ind w:firstLine="640"/>
        <w:jc w:val="left"/>
        <w:rPr>
          <w:rFonts w:ascii="仿宋_GB2312" w:hAnsi="仿宋" w:eastAsia="仿宋_GB2312" w:cs="Arial"/>
          <w:kern w:val="0"/>
          <w:sz w:val="32"/>
          <w:szCs w:val="32"/>
        </w:rPr>
      </w:pPr>
      <w:r>
        <w:rPr>
          <w:rFonts w:hint="eastAsia" w:ascii="仿宋_GB2312" w:hAnsi="仿宋" w:eastAsia="仿宋_GB2312" w:cs="Arial"/>
          <w:kern w:val="0"/>
          <w:sz w:val="32"/>
          <w:szCs w:val="32"/>
        </w:rPr>
        <w:t>2016年将重点抓好以下几个方面的工作：</w:t>
      </w:r>
    </w:p>
    <w:p>
      <w:pPr>
        <w:widowControl/>
        <w:shd w:val="clear" w:color="auto" w:fill="FFFFFF"/>
        <w:spacing w:line="540" w:lineRule="exact"/>
        <w:ind w:firstLine="640"/>
        <w:jc w:val="left"/>
        <w:rPr>
          <w:rFonts w:ascii="仿宋_GB2312" w:hAnsi="仿宋" w:eastAsia="仿宋_GB2312" w:cs="Arial"/>
          <w:kern w:val="0"/>
          <w:sz w:val="32"/>
          <w:szCs w:val="32"/>
        </w:rPr>
      </w:pPr>
      <w:r>
        <w:rPr>
          <w:rFonts w:hint="eastAsia" w:ascii="仿宋_GB2312" w:hAnsi="仿宋" w:eastAsia="仿宋_GB2312" w:cs="Arial"/>
          <w:kern w:val="0"/>
          <w:sz w:val="32"/>
          <w:szCs w:val="32"/>
        </w:rPr>
        <w:t xml:space="preserve">一是强化组织领导，落实好北京市《政府信息公开条例》和《北京市政府信息公开规定》。深入学习并切实做好政务信息公开工作规划，强化信息平台的建设，细化工作责任，充分发挥政府信息公开工作推动地区行政工作的积极作用。 </w:t>
      </w:r>
    </w:p>
    <w:p>
      <w:pPr>
        <w:widowControl/>
        <w:shd w:val="clear" w:color="auto" w:fill="FFFFFF"/>
        <w:spacing w:line="540" w:lineRule="exact"/>
        <w:ind w:firstLine="640"/>
        <w:jc w:val="left"/>
        <w:rPr>
          <w:rFonts w:ascii="仿宋_GB2312" w:hAnsi="仿宋" w:eastAsia="仿宋_GB2312" w:cs="Arial"/>
          <w:kern w:val="0"/>
          <w:sz w:val="32"/>
          <w:szCs w:val="32"/>
        </w:rPr>
      </w:pPr>
      <w:r>
        <w:rPr>
          <w:rFonts w:hint="eastAsia" w:ascii="仿宋_GB2312" w:hAnsi="仿宋" w:eastAsia="仿宋_GB2312" w:cs="Arial"/>
          <w:kern w:val="0"/>
          <w:sz w:val="32"/>
          <w:szCs w:val="32"/>
        </w:rPr>
        <w:t xml:space="preserve">二是将政府信息公开与依法行政相结合。《政府信息公开条例》实施后，政府负有公开政府信息的法定义务，只有以法律为基础，全面加强依法行政，才能在信息收集、信息整理、信息完善与更新等方面具有更大的权威性，才能更好地发挥协调、管理和督查作用，推进法治政府建设。 </w:t>
      </w:r>
    </w:p>
    <w:p>
      <w:pPr>
        <w:widowControl/>
        <w:spacing w:line="540" w:lineRule="exact"/>
        <w:ind w:firstLine="640"/>
        <w:rPr>
          <w:rFonts w:ascii="仿宋_GB2312" w:hAnsi="仿宋" w:eastAsia="仿宋_GB2312" w:cs="Arial"/>
          <w:kern w:val="0"/>
          <w:sz w:val="32"/>
          <w:szCs w:val="32"/>
        </w:rPr>
      </w:pPr>
      <w:r>
        <w:rPr>
          <w:rFonts w:hint="eastAsia" w:ascii="仿宋_GB2312" w:hAnsi="仿宋" w:eastAsia="仿宋_GB2312" w:cs="Arial"/>
          <w:kern w:val="0"/>
          <w:sz w:val="32"/>
          <w:szCs w:val="32"/>
        </w:rPr>
        <w:t>三是加强开展培训工作，进一步提高信息公开相关人员工作能力。争取和创造条件，组织相关人员进行培训，开展主动信息公开、信息依申请公开的讨论研究，结合日常工作实际，细化工作流程，明确处理方法，提高工作水平。</w:t>
      </w:r>
    </w:p>
    <w:p>
      <w:pPr>
        <w:widowControl/>
        <w:spacing w:line="540" w:lineRule="exact"/>
        <w:ind w:firstLine="640"/>
        <w:rPr>
          <w:rFonts w:ascii="仿宋_GB2312" w:hAnsi="仿宋" w:eastAsia="仿宋_GB2312" w:cs="Arial"/>
          <w:kern w:val="0"/>
          <w:sz w:val="32"/>
          <w:szCs w:val="32"/>
        </w:rPr>
      </w:pPr>
      <w:r>
        <w:rPr>
          <w:rFonts w:hint="eastAsia" w:ascii="仿宋_GB2312" w:hAnsi="仿宋" w:eastAsia="仿宋_GB2312" w:cs="Arial"/>
          <w:kern w:val="0"/>
          <w:sz w:val="32"/>
          <w:szCs w:val="32"/>
        </w:rPr>
        <w:t>四是加大信息公开保障力度，为今后网站建设提供必要的资金保障，积极推进网络政务公开，让政府网站成为办事处为民服务的一扇窗口。</w:t>
      </w:r>
    </w:p>
    <w:p>
      <w:pPr>
        <w:widowControl/>
        <w:spacing w:line="540" w:lineRule="exact"/>
        <w:rPr>
          <w:rFonts w:ascii="仿宋_GB2312" w:hAnsi="仿宋" w:eastAsia="仿宋_GB2312" w:cs="Arial"/>
          <w:kern w:val="0"/>
          <w:sz w:val="32"/>
          <w:szCs w:val="32"/>
        </w:rPr>
      </w:pPr>
    </w:p>
    <w:p>
      <w:pPr>
        <w:widowControl/>
        <w:spacing w:line="540" w:lineRule="exact"/>
        <w:rPr>
          <w:rFonts w:ascii="仿宋_GB2312" w:hAnsi="仿宋" w:eastAsia="仿宋_GB2312" w:cs="Arial"/>
          <w:kern w:val="0"/>
          <w:sz w:val="32"/>
          <w:szCs w:val="32"/>
        </w:rPr>
      </w:pPr>
    </w:p>
    <w:p>
      <w:pPr>
        <w:widowControl/>
        <w:spacing w:line="540" w:lineRule="exact"/>
        <w:rPr>
          <w:rFonts w:ascii="仿宋_GB2312" w:hAnsi="仿宋" w:eastAsia="仿宋_GB2312" w:cs="Arial"/>
          <w:kern w:val="0"/>
          <w:sz w:val="32"/>
          <w:szCs w:val="32"/>
        </w:rPr>
      </w:pPr>
    </w:p>
    <w:p>
      <w:pPr>
        <w:widowControl/>
        <w:spacing w:line="540" w:lineRule="exact"/>
        <w:ind w:firstLine="5120" w:firstLineChars="1600"/>
        <w:rPr>
          <w:rFonts w:ascii="仿宋_GB2312" w:hAnsi="仿宋" w:eastAsia="仿宋_GB2312" w:cs="Arial"/>
          <w:kern w:val="0"/>
          <w:sz w:val="32"/>
          <w:szCs w:val="32"/>
        </w:rPr>
      </w:pPr>
      <w:r>
        <w:rPr>
          <w:rFonts w:hint="eastAsia" w:ascii="仿宋_GB2312" w:hAnsi="仿宋" w:eastAsia="仿宋_GB2312" w:cs="Arial"/>
          <w:kern w:val="0"/>
          <w:sz w:val="32"/>
          <w:szCs w:val="32"/>
        </w:rPr>
        <w:t>宛平城地区办事处</w:t>
      </w:r>
    </w:p>
    <w:p>
      <w:pPr>
        <w:widowControl/>
        <w:spacing w:line="540" w:lineRule="exact"/>
        <w:ind w:firstLine="6080" w:firstLineChars="1900"/>
        <w:rPr>
          <w:rFonts w:ascii="仿宋_GB2312" w:hAnsi="仿宋" w:eastAsia="仿宋_GB2312" w:cs="Arial"/>
          <w:kern w:val="0"/>
          <w:sz w:val="32"/>
          <w:szCs w:val="32"/>
        </w:rPr>
      </w:pPr>
      <w:r>
        <w:rPr>
          <w:rFonts w:hint="eastAsia" w:ascii="仿宋_GB2312" w:hAnsi="仿宋" w:eastAsia="仿宋_GB2312" w:cs="Arial"/>
          <w:kern w:val="0"/>
          <w:sz w:val="32"/>
          <w:szCs w:val="32"/>
        </w:rPr>
        <w:t>2016年3月</w:t>
      </w:r>
    </w:p>
    <w:p>
      <w:pPr>
        <w:widowControl/>
        <w:spacing w:line="540" w:lineRule="exact"/>
        <w:rPr>
          <w:rFonts w:ascii="仿宋_GB2312" w:hAnsi="仿宋" w:eastAsia="仿宋_GB2312" w:cs="Arial"/>
          <w:kern w:val="0"/>
          <w:sz w:val="32"/>
          <w:szCs w:val="32"/>
        </w:rPr>
      </w:pPr>
    </w:p>
    <w:p>
      <w:pPr>
        <w:widowControl/>
        <w:spacing w:line="540" w:lineRule="exact"/>
        <w:rPr>
          <w:rFonts w:ascii="仿宋_GB2312" w:hAnsi="仿宋" w:eastAsia="仿宋_GB2312" w:cs="Arial"/>
          <w:kern w:val="0"/>
          <w:sz w:val="32"/>
          <w:szCs w:val="32"/>
        </w:rPr>
      </w:pPr>
    </w:p>
    <w:p>
      <w:pPr>
        <w:widowControl/>
        <w:spacing w:line="540" w:lineRule="exact"/>
        <w:rPr>
          <w:rFonts w:ascii="仿宋_GB2312" w:hAnsi="仿宋" w:eastAsia="仿宋_GB2312" w:cs="Arial"/>
          <w:kern w:val="0"/>
          <w:sz w:val="32"/>
          <w:szCs w:val="32"/>
        </w:rPr>
      </w:pPr>
    </w:p>
    <w:p>
      <w:pPr>
        <w:widowControl/>
        <w:spacing w:line="540" w:lineRule="exact"/>
        <w:rPr>
          <w:rFonts w:ascii="仿宋_GB2312" w:hAnsi="仿宋" w:eastAsia="仿宋_GB2312" w:cs="Arial"/>
          <w:kern w:val="0"/>
          <w:sz w:val="32"/>
          <w:szCs w:val="32"/>
        </w:rPr>
      </w:pPr>
    </w:p>
    <w:p>
      <w:pPr>
        <w:widowControl/>
        <w:spacing w:line="540" w:lineRule="exact"/>
        <w:rPr>
          <w:rFonts w:ascii="仿宋_GB2312" w:hAnsi="仿宋" w:eastAsia="仿宋_GB2312" w:cs="Arial"/>
          <w:kern w:val="0"/>
          <w:sz w:val="32"/>
          <w:szCs w:val="32"/>
        </w:rPr>
      </w:pPr>
    </w:p>
    <w:p>
      <w:pPr>
        <w:widowControl/>
        <w:spacing w:line="540" w:lineRule="exact"/>
        <w:rPr>
          <w:rFonts w:ascii="仿宋_GB2312" w:hAnsi="仿宋" w:eastAsia="仿宋_GB2312" w:cs="Arial"/>
          <w:kern w:val="0"/>
          <w:sz w:val="32"/>
          <w:szCs w:val="32"/>
        </w:rPr>
      </w:pPr>
    </w:p>
    <w:p>
      <w:pPr>
        <w:widowControl/>
        <w:spacing w:line="540" w:lineRule="exact"/>
        <w:rPr>
          <w:rFonts w:ascii="仿宋_GB2312" w:hAnsi="仿宋" w:eastAsia="仿宋_GB2312" w:cs="Arial"/>
          <w:kern w:val="0"/>
          <w:sz w:val="32"/>
          <w:szCs w:val="32"/>
        </w:rPr>
      </w:pPr>
    </w:p>
    <w:p>
      <w:pPr>
        <w:widowControl/>
        <w:spacing w:line="540" w:lineRule="exact"/>
        <w:rPr>
          <w:rFonts w:ascii="仿宋_GB2312" w:hAnsi="仿宋" w:eastAsia="仿宋_GB2312" w:cs="Arial"/>
          <w:kern w:val="0"/>
          <w:sz w:val="32"/>
          <w:szCs w:val="32"/>
        </w:rPr>
      </w:pPr>
    </w:p>
    <w:p>
      <w:pPr>
        <w:widowControl/>
        <w:spacing w:line="540" w:lineRule="exact"/>
        <w:rPr>
          <w:rFonts w:ascii="仿宋_GB2312" w:hAnsi="仿宋" w:eastAsia="仿宋_GB2312" w:cs="Arial"/>
          <w:kern w:val="0"/>
          <w:sz w:val="32"/>
          <w:szCs w:val="32"/>
        </w:rPr>
      </w:pPr>
    </w:p>
    <w:p>
      <w:pPr>
        <w:widowControl/>
        <w:spacing w:line="540" w:lineRule="exact"/>
        <w:rPr>
          <w:rFonts w:ascii="仿宋_GB2312" w:hAnsi="仿宋" w:eastAsia="仿宋_GB2312" w:cs="Arial"/>
          <w:kern w:val="0"/>
          <w:sz w:val="32"/>
          <w:szCs w:val="32"/>
        </w:rPr>
      </w:pPr>
    </w:p>
    <w:p>
      <w:pPr>
        <w:widowControl/>
        <w:spacing w:line="540" w:lineRule="exact"/>
        <w:rPr>
          <w:rFonts w:ascii="仿宋_GB2312" w:hAnsi="仿宋" w:eastAsia="仿宋_GB2312" w:cs="Arial"/>
          <w:kern w:val="0"/>
          <w:sz w:val="32"/>
          <w:szCs w:val="32"/>
        </w:rPr>
      </w:pPr>
    </w:p>
    <w:p>
      <w:pPr>
        <w:shd w:val="clear" w:color="auto" w:fill="FFFFFF"/>
        <w:spacing w:before="100" w:beforeAutospacing="1" w:after="100" w:afterAutospacing="1" w:line="400" w:lineRule="exact"/>
        <w:rPr>
          <w:rFonts w:ascii="仿宋_GB2312" w:eastAsia="仿宋_GB2312"/>
          <w:sz w:val="32"/>
          <w:szCs w:val="32"/>
        </w:rPr>
      </w:pPr>
      <w:r>
        <w:rPr>
          <w:rFonts w:eastAsia="仿宋_GB2312"/>
          <w:kern w:val="0"/>
          <w:sz w:val="32"/>
          <w:szCs w:val="32"/>
        </w:rPr>
        <w:t>  </w:t>
      </w:r>
      <w:r>
        <w:rPr>
          <w:rFonts w:hint="eastAsia" w:ascii="仿宋_GB2312" w:eastAsia="仿宋_GB2312"/>
          <w:sz w:val="32"/>
          <w:szCs w:val="32"/>
        </w:rPr>
        <w:t>附表：</w:t>
      </w:r>
    </w:p>
    <w:p>
      <w:pPr>
        <w:shd w:val="clear" w:color="auto" w:fill="FFFFFF"/>
        <w:spacing w:before="100" w:beforeAutospacing="1" w:after="100" w:afterAutospacing="1" w:line="400" w:lineRule="exact"/>
        <w:rPr>
          <w:rFonts w:ascii="仿宋_GB2312" w:eastAsia="仿宋_GB2312"/>
          <w:sz w:val="32"/>
          <w:szCs w:val="32"/>
        </w:rPr>
      </w:pPr>
      <w:r>
        <w:rPr>
          <w:rFonts w:hint="eastAsia" w:ascii="仿宋_GB2312" w:eastAsia="仿宋_GB2312"/>
          <w:sz w:val="32"/>
          <w:szCs w:val="32"/>
        </w:rPr>
        <w:t>附表一  主动公开政府信息情况统计</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8"/>
        <w:gridCol w:w="1080"/>
        <w:gridCol w:w="2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30"/>
                <w:szCs w:val="30"/>
              </w:rPr>
            </w:pP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30"/>
                <w:szCs w:val="30"/>
              </w:rPr>
            </w:pPr>
            <w:r>
              <w:rPr>
                <w:rFonts w:hint="eastAsia" w:ascii="仿宋_GB2312" w:eastAsia="仿宋_GB2312"/>
                <w:sz w:val="30"/>
                <w:szCs w:val="30"/>
              </w:rPr>
              <w:t>单位</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eastAsia="仿宋_GB2312"/>
                <w:sz w:val="30"/>
                <w:szCs w:val="30"/>
              </w:rPr>
            </w:pPr>
            <w:r>
              <w:rPr>
                <w:rFonts w:hint="eastAsia" w:ascii="仿宋_GB2312" w:eastAsia="仿宋_GB2312"/>
                <w:sz w:val="30"/>
                <w:szCs w:val="3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主动公开政府信息数</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条</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宋体" w:eastAsia="仿宋_GB2312" w:cs="宋体"/>
                <w:color w:val="000000"/>
                <w:kern w:val="0"/>
                <w:sz w:val="28"/>
                <w:szCs w:val="28"/>
              </w:rPr>
            </w:pPr>
            <w:r>
              <w:rPr>
                <w:rFonts w:hint="eastAsia" w:ascii="仿宋_GB2312" w:eastAsia="仿宋_GB2312"/>
                <w:sz w:val="28"/>
                <w:szCs w:val="28"/>
              </w:rPr>
              <w:t>1420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其中：全文电子化政府信息数</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条</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1420</w:t>
            </w:r>
          </w:p>
        </w:tc>
      </w:tr>
    </w:tbl>
    <w:p>
      <w:pPr>
        <w:spacing w:line="560" w:lineRule="exact"/>
        <w:rPr>
          <w:rFonts w:ascii="仿宋_GB2312" w:hAnsi="Times New Roman" w:eastAsia="仿宋_GB2312" w:cs="Times New Roman"/>
          <w:sz w:val="32"/>
          <w:szCs w:val="32"/>
        </w:rPr>
      </w:pPr>
      <w:r>
        <w:rPr>
          <w:rFonts w:hint="eastAsia" w:ascii="仿宋_GB2312" w:eastAsia="仿宋_GB2312"/>
          <w:sz w:val="32"/>
          <w:szCs w:val="32"/>
        </w:rPr>
        <w:t>附表二  依申请公开政府信息情况统计</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8"/>
        <w:gridCol w:w="1080"/>
        <w:gridCol w:w="2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30"/>
                <w:szCs w:val="30"/>
              </w:rPr>
            </w:pP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30"/>
                <w:szCs w:val="30"/>
              </w:rPr>
            </w:pPr>
            <w:r>
              <w:rPr>
                <w:rFonts w:hint="eastAsia" w:ascii="仿宋_GB2312" w:eastAsia="仿宋_GB2312"/>
                <w:sz w:val="30"/>
                <w:szCs w:val="30"/>
              </w:rPr>
              <w:t>单位</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eastAsia="仿宋_GB2312"/>
                <w:sz w:val="30"/>
                <w:szCs w:val="30"/>
              </w:rPr>
            </w:pPr>
            <w:r>
              <w:rPr>
                <w:rFonts w:hint="eastAsia" w:ascii="仿宋_GB2312" w:eastAsia="仿宋_GB2312"/>
                <w:sz w:val="30"/>
                <w:szCs w:val="3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tcPr>
          <w:p>
            <w:pPr>
              <w:spacing w:line="560" w:lineRule="exact"/>
              <w:ind w:firstLine="840" w:firstLineChars="300"/>
              <w:rPr>
                <w:rFonts w:ascii="仿宋_GB2312" w:eastAsia="仿宋_GB2312"/>
                <w:sz w:val="28"/>
                <w:szCs w:val="28"/>
              </w:rPr>
            </w:pPr>
            <w:r>
              <w:rPr>
                <w:rFonts w:hint="eastAsia" w:ascii="仿宋_GB2312" w:eastAsia="仿宋_GB2312"/>
                <w:sz w:val="28"/>
                <w:szCs w:val="28"/>
              </w:rPr>
              <w:t>1、当面申请数</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 xml:space="preserve">      2、互联网申请数</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 xml:space="preserve">      3、传真申请数</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 xml:space="preserve">      4、信函申请数</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到期已答复总数</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left"/>
              <w:rPr>
                <w:rFonts w:ascii="仿宋_GB2312" w:eastAsia="仿宋_GB2312"/>
                <w:sz w:val="28"/>
                <w:szCs w:val="28"/>
              </w:rPr>
            </w:pPr>
            <w:r>
              <w:rPr>
                <w:rFonts w:hint="eastAsia" w:ascii="仿宋_GB2312" w:eastAsia="仿宋_GB2312"/>
                <w:sz w:val="28"/>
                <w:szCs w:val="28"/>
              </w:rPr>
              <w:t>其中： 1.同意公开答复数</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ind w:firstLine="980" w:firstLineChars="350"/>
              <w:jc w:val="left"/>
              <w:rPr>
                <w:rFonts w:ascii="仿宋_GB2312" w:eastAsia="仿宋_GB2312"/>
                <w:sz w:val="28"/>
                <w:szCs w:val="28"/>
              </w:rPr>
            </w:pPr>
            <w:r>
              <w:rPr>
                <w:rFonts w:hint="eastAsia" w:ascii="仿宋_GB2312" w:eastAsia="仿宋_GB2312"/>
                <w:sz w:val="28"/>
                <w:szCs w:val="28"/>
              </w:rPr>
              <w:t>2.同意部分公开答复数</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adjustRightInd w:val="0"/>
              <w:spacing w:line="560" w:lineRule="exact"/>
              <w:rPr>
                <w:rFonts w:ascii="仿宋_GB2312" w:eastAsia="仿宋_GB2312"/>
                <w:sz w:val="28"/>
                <w:szCs w:val="28"/>
              </w:rPr>
            </w:pPr>
            <w:r>
              <w:rPr>
                <w:rFonts w:hint="eastAsia" w:ascii="仿宋_GB2312"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vAlign w:val="center"/>
          </w:tcPr>
          <w:p>
            <w:pPr>
              <w:widowControl/>
              <w:adjustRightInd w:val="0"/>
              <w:spacing w:line="560" w:lineRule="exact"/>
              <w:rPr>
                <w:rFonts w:ascii="仿宋_GB2312" w:eastAsia="仿宋_GB2312"/>
                <w:sz w:val="28"/>
                <w:szCs w:val="28"/>
              </w:rPr>
            </w:pPr>
            <w:r>
              <w:rPr>
                <w:rFonts w:hint="eastAsia" w:ascii="仿宋_GB2312" w:eastAsia="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ind w:firstLine="980" w:firstLineChars="350"/>
              <w:jc w:val="left"/>
              <w:rPr>
                <w:rFonts w:ascii="仿宋_GB2312" w:eastAsia="仿宋_GB2312"/>
                <w:sz w:val="28"/>
                <w:szCs w:val="28"/>
              </w:rPr>
            </w:pPr>
            <w:r>
              <w:rPr>
                <w:rFonts w:hint="eastAsia" w:ascii="仿宋_GB2312" w:eastAsia="仿宋_GB2312"/>
                <w:sz w:val="28"/>
                <w:szCs w:val="28"/>
              </w:rPr>
              <w:t>3.不予公开答复总数</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ind w:firstLine="980" w:firstLineChars="350"/>
              <w:jc w:val="left"/>
              <w:rPr>
                <w:rFonts w:ascii="仿宋_GB2312" w:eastAsia="仿宋_GB2312"/>
                <w:sz w:val="28"/>
                <w:szCs w:val="28"/>
              </w:rPr>
            </w:pPr>
            <w:r>
              <w:rPr>
                <w:rFonts w:hint="eastAsia" w:ascii="仿宋_GB2312" w:eastAsia="仿宋_GB2312"/>
                <w:sz w:val="28"/>
                <w:szCs w:val="28"/>
              </w:rPr>
              <w:t>4.信息不存在数</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ind w:firstLine="980" w:firstLineChars="350"/>
              <w:jc w:val="left"/>
              <w:rPr>
                <w:rFonts w:ascii="仿宋_GB2312" w:eastAsia="仿宋_GB2312"/>
                <w:sz w:val="28"/>
                <w:szCs w:val="28"/>
              </w:rPr>
            </w:pPr>
            <w:r>
              <w:rPr>
                <w:rFonts w:hint="eastAsia" w:ascii="仿宋_GB2312" w:eastAsia="仿宋_GB2312"/>
                <w:sz w:val="28"/>
                <w:szCs w:val="28"/>
              </w:rPr>
              <w:t>5.非本机关掌握</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vAlign w:val="center"/>
          </w:tcPr>
          <w:p>
            <w:pPr>
              <w:widowControl/>
              <w:spacing w:line="560" w:lineRule="exact"/>
              <w:ind w:firstLine="980" w:firstLineChars="350"/>
              <w:jc w:val="left"/>
              <w:rPr>
                <w:rFonts w:ascii="仿宋_GB2312" w:eastAsia="仿宋_GB2312"/>
                <w:sz w:val="28"/>
                <w:szCs w:val="28"/>
              </w:rPr>
            </w:pPr>
            <w:r>
              <w:rPr>
                <w:rFonts w:hint="eastAsia" w:ascii="仿宋_GB2312" w:eastAsia="仿宋_GB2312"/>
                <w:sz w:val="28"/>
                <w:szCs w:val="28"/>
              </w:rPr>
              <w:t>6.申请内容不明确</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eastAsia="仿宋_GB2312"/>
                <w:sz w:val="28"/>
                <w:szCs w:val="28"/>
              </w:rPr>
            </w:pPr>
            <w:r>
              <w:rPr>
                <w:rFonts w:hint="eastAsia" w:ascii="仿宋_GB2312" w:eastAsia="仿宋_GB2312"/>
                <w:sz w:val="28"/>
                <w:szCs w:val="28"/>
              </w:rPr>
              <w:t>3</w:t>
            </w:r>
          </w:p>
        </w:tc>
      </w:tr>
    </w:tbl>
    <w:p>
      <w:pPr>
        <w:spacing w:line="560" w:lineRule="exact"/>
        <w:rPr>
          <w:rFonts w:ascii="仿宋_GB2312" w:hAnsi="Times New Roman" w:eastAsia="仿宋_GB2312" w:cs="Times New Roman"/>
          <w:sz w:val="32"/>
          <w:szCs w:val="32"/>
        </w:rPr>
      </w:pPr>
      <w:r>
        <w:rPr>
          <w:rFonts w:hint="eastAsia" w:ascii="仿宋_GB2312" w:eastAsia="仿宋_GB2312"/>
          <w:sz w:val="32"/>
          <w:szCs w:val="32"/>
        </w:rPr>
        <w:t>附表三  复议、诉讼及举报情况统计表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8"/>
        <w:gridCol w:w="1080"/>
        <w:gridCol w:w="2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华文中宋" w:eastAsia="仿宋_GB2312"/>
                <w:sz w:val="30"/>
                <w:szCs w:val="30"/>
              </w:rPr>
            </w:pP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华文中宋" w:eastAsia="仿宋_GB2312"/>
                <w:sz w:val="30"/>
                <w:szCs w:val="30"/>
              </w:rPr>
            </w:pPr>
            <w:r>
              <w:rPr>
                <w:rFonts w:hint="eastAsia" w:ascii="仿宋_GB2312" w:hAnsi="华文中宋" w:eastAsia="仿宋_GB2312"/>
                <w:sz w:val="30"/>
                <w:szCs w:val="30"/>
              </w:rPr>
              <w:t>单位</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jc w:val="center"/>
              <w:rPr>
                <w:rFonts w:ascii="仿宋_GB2312" w:hAnsi="华文中宋" w:eastAsia="仿宋_GB2312"/>
                <w:sz w:val="30"/>
                <w:szCs w:val="30"/>
              </w:rPr>
            </w:pPr>
            <w:r>
              <w:rPr>
                <w:rFonts w:hint="eastAsia" w:ascii="仿宋_GB2312" w:hAnsi="华文中宋" w:eastAsia="仿宋_GB2312"/>
                <w:sz w:val="30"/>
                <w:szCs w:val="30"/>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华文中宋" w:eastAsia="仿宋_GB2312"/>
                <w:sz w:val="28"/>
                <w:szCs w:val="28"/>
              </w:rPr>
            </w:pPr>
            <w:r>
              <w:rPr>
                <w:rFonts w:hint="eastAsia" w:ascii="仿宋_GB2312" w:hAnsi="华文中宋" w:eastAsia="仿宋_GB2312"/>
                <w:sz w:val="28"/>
                <w:szCs w:val="28"/>
              </w:rPr>
              <w:t>复议数</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华文中宋" w:eastAsia="仿宋_GB2312"/>
                <w:sz w:val="28"/>
                <w:szCs w:val="28"/>
              </w:rPr>
            </w:pPr>
            <w:r>
              <w:rPr>
                <w:rFonts w:hint="eastAsia" w:ascii="仿宋_GB2312" w:hAnsi="华文中宋"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华文中宋" w:eastAsia="仿宋_GB2312"/>
                <w:sz w:val="28"/>
                <w:szCs w:val="28"/>
              </w:rPr>
            </w:pPr>
            <w:r>
              <w:rPr>
                <w:rFonts w:hint="eastAsia" w:ascii="仿宋_GB2312" w:hAnsi="宋体" w:eastAsia="仿宋_GB2312" w:cs="宋体"/>
                <w:kern w:val="0"/>
                <w:sz w:val="28"/>
                <w:szCs w:val="28"/>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华文中宋" w:eastAsia="仿宋_GB2312"/>
                <w:sz w:val="28"/>
                <w:szCs w:val="28"/>
              </w:rPr>
            </w:pPr>
            <w:r>
              <w:rPr>
                <w:rFonts w:hint="eastAsia" w:ascii="仿宋_GB2312" w:hAnsi="华文中宋" w:eastAsia="仿宋_GB2312"/>
                <w:sz w:val="28"/>
                <w:szCs w:val="28"/>
              </w:rPr>
              <w:t>诉讼数</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华文中宋" w:eastAsia="仿宋_GB2312"/>
                <w:sz w:val="28"/>
                <w:szCs w:val="28"/>
              </w:rPr>
            </w:pPr>
            <w:r>
              <w:rPr>
                <w:rFonts w:hint="eastAsia" w:ascii="仿宋_GB2312" w:hAnsi="华文中宋"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华文中宋" w:eastAsia="仿宋_GB2312"/>
                <w:sz w:val="28"/>
                <w:szCs w:val="28"/>
              </w:rPr>
            </w:pPr>
            <w:r>
              <w:rPr>
                <w:rFonts w:hint="eastAsia" w:ascii="仿宋_GB2312" w:hAnsi="宋体" w:eastAsia="仿宋_GB2312" w:cs="宋体"/>
                <w:kern w:val="0"/>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48"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华文中宋" w:eastAsia="仿宋_GB2312"/>
                <w:sz w:val="28"/>
                <w:szCs w:val="28"/>
              </w:rPr>
            </w:pPr>
            <w:r>
              <w:rPr>
                <w:rFonts w:hint="eastAsia" w:ascii="仿宋_GB2312" w:hAnsi="华文中宋" w:eastAsia="仿宋_GB2312"/>
                <w:sz w:val="28"/>
                <w:szCs w:val="28"/>
              </w:rPr>
              <w:t>举报数</w:t>
            </w:r>
          </w:p>
        </w:tc>
        <w:tc>
          <w:tcPr>
            <w:tcW w:w="1080"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华文中宋" w:eastAsia="仿宋_GB2312"/>
                <w:sz w:val="28"/>
                <w:szCs w:val="28"/>
              </w:rPr>
            </w:pPr>
            <w:r>
              <w:rPr>
                <w:rFonts w:hint="eastAsia" w:ascii="仿宋_GB2312" w:hAnsi="华文中宋" w:eastAsia="仿宋_GB2312"/>
                <w:sz w:val="28"/>
                <w:szCs w:val="28"/>
              </w:rPr>
              <w:t>件</w:t>
            </w:r>
          </w:p>
        </w:tc>
        <w:tc>
          <w:tcPr>
            <w:tcW w:w="2294" w:type="dxa"/>
            <w:tcBorders>
              <w:top w:val="single" w:color="auto" w:sz="4" w:space="0"/>
              <w:left w:val="single" w:color="auto" w:sz="4" w:space="0"/>
              <w:bottom w:val="single" w:color="auto" w:sz="4" w:space="0"/>
              <w:right w:val="single" w:color="auto" w:sz="4" w:space="0"/>
            </w:tcBorders>
          </w:tcPr>
          <w:p>
            <w:pPr>
              <w:spacing w:line="560" w:lineRule="exact"/>
              <w:rPr>
                <w:rFonts w:ascii="仿宋_GB2312" w:hAnsi="华文中宋" w:eastAsia="仿宋_GB2312"/>
                <w:sz w:val="28"/>
                <w:szCs w:val="28"/>
              </w:rPr>
            </w:pPr>
            <w:r>
              <w:rPr>
                <w:rFonts w:hint="eastAsia" w:ascii="仿宋_GB2312" w:hAnsi="华文中宋" w:eastAsia="仿宋_GB2312"/>
                <w:sz w:val="28"/>
                <w:szCs w:val="28"/>
              </w:rPr>
              <w:t>0</w:t>
            </w:r>
          </w:p>
        </w:tc>
      </w:tr>
    </w:tbl>
    <w:p>
      <w:pPr>
        <w:widowControl/>
        <w:spacing w:line="540" w:lineRule="exact"/>
        <w:rPr>
          <w:rFonts w:ascii="仿宋_GB2312" w:hAnsi="仿宋" w:eastAsia="仿宋_GB2312" w:cs="Arial"/>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华文中宋">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F4DB4"/>
    <w:rsid w:val="000208F8"/>
    <w:rsid w:val="0004329F"/>
    <w:rsid w:val="00075DC2"/>
    <w:rsid w:val="000D5D8B"/>
    <w:rsid w:val="000F7DA7"/>
    <w:rsid w:val="00120180"/>
    <w:rsid w:val="00137E18"/>
    <w:rsid w:val="0014505C"/>
    <w:rsid w:val="00145C59"/>
    <w:rsid w:val="001A2956"/>
    <w:rsid w:val="001D7D3C"/>
    <w:rsid w:val="001E4495"/>
    <w:rsid w:val="001E672E"/>
    <w:rsid w:val="001F656C"/>
    <w:rsid w:val="00200F54"/>
    <w:rsid w:val="00216F9A"/>
    <w:rsid w:val="00223FD5"/>
    <w:rsid w:val="00224A71"/>
    <w:rsid w:val="00241C07"/>
    <w:rsid w:val="0026030F"/>
    <w:rsid w:val="00267CE9"/>
    <w:rsid w:val="002C0218"/>
    <w:rsid w:val="002F2FDC"/>
    <w:rsid w:val="00305E16"/>
    <w:rsid w:val="00334A01"/>
    <w:rsid w:val="00394690"/>
    <w:rsid w:val="003953A4"/>
    <w:rsid w:val="003A3669"/>
    <w:rsid w:val="003B4867"/>
    <w:rsid w:val="003F314F"/>
    <w:rsid w:val="004151C4"/>
    <w:rsid w:val="00453A2F"/>
    <w:rsid w:val="004642C1"/>
    <w:rsid w:val="004659C3"/>
    <w:rsid w:val="00466A4B"/>
    <w:rsid w:val="00472FAD"/>
    <w:rsid w:val="004D0678"/>
    <w:rsid w:val="004D0F83"/>
    <w:rsid w:val="004D276B"/>
    <w:rsid w:val="004D2E42"/>
    <w:rsid w:val="004F3B3C"/>
    <w:rsid w:val="00500905"/>
    <w:rsid w:val="00550617"/>
    <w:rsid w:val="00554A63"/>
    <w:rsid w:val="00574ADF"/>
    <w:rsid w:val="005A149F"/>
    <w:rsid w:val="005B0D5A"/>
    <w:rsid w:val="005C2FF6"/>
    <w:rsid w:val="005D34A4"/>
    <w:rsid w:val="005D4F18"/>
    <w:rsid w:val="005E20F2"/>
    <w:rsid w:val="00620064"/>
    <w:rsid w:val="00624C37"/>
    <w:rsid w:val="00645280"/>
    <w:rsid w:val="00654445"/>
    <w:rsid w:val="00655FD7"/>
    <w:rsid w:val="006C1DD9"/>
    <w:rsid w:val="006D27F8"/>
    <w:rsid w:val="006F3F00"/>
    <w:rsid w:val="006F5791"/>
    <w:rsid w:val="00704FB0"/>
    <w:rsid w:val="00706896"/>
    <w:rsid w:val="00710C49"/>
    <w:rsid w:val="00720DA2"/>
    <w:rsid w:val="007213B0"/>
    <w:rsid w:val="00771940"/>
    <w:rsid w:val="007824A2"/>
    <w:rsid w:val="00786759"/>
    <w:rsid w:val="007903B3"/>
    <w:rsid w:val="00882EE9"/>
    <w:rsid w:val="008875FB"/>
    <w:rsid w:val="008B1E8F"/>
    <w:rsid w:val="008C722C"/>
    <w:rsid w:val="008F4BBA"/>
    <w:rsid w:val="00913905"/>
    <w:rsid w:val="00927F31"/>
    <w:rsid w:val="00943098"/>
    <w:rsid w:val="009806A0"/>
    <w:rsid w:val="009E141A"/>
    <w:rsid w:val="009E5BE7"/>
    <w:rsid w:val="009F5A1F"/>
    <w:rsid w:val="00A00A7B"/>
    <w:rsid w:val="00A144DE"/>
    <w:rsid w:val="00A1509C"/>
    <w:rsid w:val="00A47D4C"/>
    <w:rsid w:val="00A53E9E"/>
    <w:rsid w:val="00A81790"/>
    <w:rsid w:val="00AD6BDD"/>
    <w:rsid w:val="00AE2AC3"/>
    <w:rsid w:val="00AF4DB4"/>
    <w:rsid w:val="00B20F1B"/>
    <w:rsid w:val="00B27F0F"/>
    <w:rsid w:val="00B64FBE"/>
    <w:rsid w:val="00B8469B"/>
    <w:rsid w:val="00C43A04"/>
    <w:rsid w:val="00C6727A"/>
    <w:rsid w:val="00C774B2"/>
    <w:rsid w:val="00CA12FB"/>
    <w:rsid w:val="00CD4EAC"/>
    <w:rsid w:val="00CE2329"/>
    <w:rsid w:val="00CF21D4"/>
    <w:rsid w:val="00D55ACF"/>
    <w:rsid w:val="00D653CB"/>
    <w:rsid w:val="00DD26E7"/>
    <w:rsid w:val="00DE14CF"/>
    <w:rsid w:val="00DE6C73"/>
    <w:rsid w:val="00DF6C0B"/>
    <w:rsid w:val="00E130B2"/>
    <w:rsid w:val="00E24057"/>
    <w:rsid w:val="00E33D9F"/>
    <w:rsid w:val="00E36B01"/>
    <w:rsid w:val="00E54F9E"/>
    <w:rsid w:val="00E748C0"/>
    <w:rsid w:val="00E76036"/>
    <w:rsid w:val="00E85865"/>
    <w:rsid w:val="00EE024B"/>
    <w:rsid w:val="00EF2BDE"/>
    <w:rsid w:val="00F26696"/>
    <w:rsid w:val="00F345B5"/>
    <w:rsid w:val="00F761FE"/>
    <w:rsid w:val="00F804B6"/>
    <w:rsid w:val="00FB091E"/>
    <w:rsid w:val="00FB50DD"/>
    <w:rsid w:val="00FB6B7E"/>
    <w:rsid w:val="00FC1448"/>
    <w:rsid w:val="00FE7AB3"/>
    <w:rsid w:val="48187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0"/>
    <w:semiHidden/>
    <w:unhideWhenUsed/>
    <w:qFormat/>
    <w:uiPriority w:val="99"/>
    <w:pPr>
      <w:ind w:left="100" w:leftChars="2500"/>
    </w:p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333333"/>
      <w:u w:val="none"/>
    </w:rPr>
  </w:style>
  <w:style w:type="character" w:customStyle="1" w:styleId="8">
    <w:name w:val="页眉 Char"/>
    <w:basedOn w:val="6"/>
    <w:link w:val="4"/>
    <w:uiPriority w:val="99"/>
    <w:rPr>
      <w:sz w:val="18"/>
      <w:szCs w:val="18"/>
    </w:rPr>
  </w:style>
  <w:style w:type="character" w:customStyle="1" w:styleId="9">
    <w:name w:val="页脚 Char"/>
    <w:basedOn w:val="6"/>
    <w:link w:val="3"/>
    <w:uiPriority w:val="99"/>
    <w:rPr>
      <w:sz w:val="18"/>
      <w:szCs w:val="18"/>
    </w:rPr>
  </w:style>
  <w:style w:type="character" w:customStyle="1" w:styleId="10">
    <w:name w:val="日期 Char"/>
    <w:basedOn w:val="6"/>
    <w:link w:val="2"/>
    <w:semiHidden/>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22A8562-C1A8-41B5-809C-744C822F9676}">
  <ds:schemaRefs/>
</ds:datastoreItem>
</file>

<file path=docProps/app.xml><?xml version="1.0" encoding="utf-8"?>
<Properties xmlns="http://schemas.openxmlformats.org/officeDocument/2006/extended-properties" xmlns:vt="http://schemas.openxmlformats.org/officeDocument/2006/docPropsVTypes">
  <Template>Normal</Template>
  <Pages>7</Pages>
  <Words>426</Words>
  <Characters>2432</Characters>
  <Lines>20</Lines>
  <Paragraphs>5</Paragraphs>
  <TotalTime>0</TotalTime>
  <ScaleCrop>false</ScaleCrop>
  <LinksUpToDate>false</LinksUpToDate>
  <CharactersWithSpaces>2853</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2014-11-17T02:45:00Z</dcterms:created>
  <dc:creator>Think</dc:creator>
  <cp:lastModifiedBy>wp_bg</cp:lastModifiedBy>
  <dcterms:modified xsi:type="dcterms:W3CDTF">2020-11-17T03:47:30Z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