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2025年政府预算相关情况说明</w:t>
      </w:r>
    </w:p>
    <w:p>
      <w:pPr>
        <w:pStyle w:val="5"/>
        <w:keepNext w:val="0"/>
        <w:keepLines w:val="0"/>
        <w:pageBreakBefore w:val="0"/>
        <w:widowControl w:val="0"/>
        <w:numPr>
          <w:ilvl w:val="0"/>
          <w:numId w:val="0"/>
        </w:numPr>
        <w:kinsoku/>
        <w:wordWrap/>
        <w:overflowPunct/>
        <w:topLinePunct w:val="0"/>
        <w:autoSpaceDE/>
        <w:autoSpaceDN/>
        <w:bidi w:val="0"/>
        <w:adjustRightInd/>
        <w:spacing w:line="560" w:lineRule="exact"/>
        <w:ind w:left="160" w:lef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pStyle w:val="5"/>
        <w:keepNext w:val="0"/>
        <w:keepLines w:val="0"/>
        <w:pageBreakBefore w:val="0"/>
        <w:widowControl w:val="0"/>
        <w:numPr>
          <w:ilvl w:val="0"/>
          <w:numId w:val="0"/>
        </w:numPr>
        <w:kinsoku/>
        <w:wordWrap/>
        <w:overflowPunct/>
        <w:topLinePunct w:val="0"/>
        <w:autoSpaceDE/>
        <w:autoSpaceDN/>
        <w:bidi w:val="0"/>
        <w:adjustRightInd w:val="0"/>
        <w:spacing w:line="560" w:lineRule="exact"/>
        <w:ind w:left="160" w:lef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一、转移支付安排情况说明</w:t>
      </w:r>
    </w:p>
    <w:p>
      <w:pPr>
        <w:keepNext w:val="0"/>
        <w:keepLines w:val="0"/>
        <w:pageBreakBefore w:val="0"/>
        <w:widowControl w:val="0"/>
        <w:numPr>
          <w:ilvl w:val="0"/>
          <w:numId w:val="0"/>
        </w:numPr>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highlight w:val="none"/>
          <w:lang w:val="en-US" w:eastAsia="zh-CN"/>
        </w:rPr>
        <w:t>2025年</w:t>
      </w:r>
      <w:r>
        <w:rPr>
          <w:rFonts w:hint="eastAsia" w:ascii="仿宋_GB2312" w:hAnsi="仿宋_GB2312" w:eastAsia="仿宋_GB2312" w:cs="仿宋_GB2312"/>
          <w:sz w:val="32"/>
          <w:szCs w:val="32"/>
          <w:lang w:val="en-US" w:eastAsia="zh-CN"/>
        </w:rPr>
        <w:t>一般公共预算共收到上级转移支付1259802</w:t>
      </w:r>
      <w:r>
        <w:rPr>
          <w:rFonts w:hint="eastAsia" w:ascii="仿宋_GB2312" w:hAnsi="仿宋_GB2312" w:eastAsia="仿宋_GB2312" w:cs="仿宋_GB2312"/>
          <w:sz w:val="32"/>
          <w:szCs w:val="32"/>
          <w:highlight w:val="none"/>
          <w:lang w:val="en-US" w:eastAsia="zh-CN"/>
        </w:rPr>
        <w:t>万</w:t>
      </w:r>
      <w:r>
        <w:rPr>
          <w:rFonts w:hint="eastAsia" w:ascii="仿宋_GB2312" w:hAnsi="仿宋_GB2312" w:eastAsia="仿宋_GB2312" w:cs="仿宋_GB2312"/>
          <w:sz w:val="32"/>
          <w:szCs w:val="32"/>
          <w:lang w:val="en-US" w:eastAsia="zh-CN"/>
        </w:rPr>
        <w:t>元，其中一般转移支付</w:t>
      </w:r>
      <w:r>
        <w:rPr>
          <w:rFonts w:hint="eastAsia" w:ascii="仿宋_GB2312" w:hAnsi="仿宋_GB2312" w:eastAsia="仿宋_GB2312" w:cs="仿宋_GB2312"/>
          <w:sz w:val="32"/>
          <w:szCs w:val="32"/>
          <w:highlight w:val="none"/>
          <w:lang w:val="en-US" w:eastAsia="zh-CN"/>
        </w:rPr>
        <w:t>1057974万元，专项转移支付201828</w:t>
      </w:r>
      <w:r>
        <w:rPr>
          <w:rFonts w:hint="eastAsia" w:ascii="仿宋_GB2312" w:hAnsi="仿宋_GB2312" w:eastAsia="仿宋_GB2312" w:cs="仿宋_GB2312"/>
          <w:sz w:val="32"/>
          <w:szCs w:val="32"/>
          <w:lang w:val="en-US" w:eastAsia="zh-CN"/>
        </w:rPr>
        <w:t>万元（含专项转移支付结余76737万元）。专项转移支付安排一般公共服务支出751万元，国防支出530万元，教育支出69153万元，文化旅游体育与传媒支出1447万元，社会保障和就业支出702万元，卫生健康支出18351万元，节能环保支出33644万元，城乡社区支出51525万元，农林水支出22316万元，交通运输支出397万元，资源勘探工业信息等支出2343万元，灾害防治及应急管理支出669万元。</w:t>
      </w:r>
    </w:p>
    <w:p>
      <w:pPr>
        <w:pStyle w:val="5"/>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政府性基金预算收到上级转移支付156597万元（含专项转移支付结余145754万元），其中安排文化旅游体育与传媒支出400万元，城乡社区支出44370万元，农林水支出23万元，资源勘探工业信息等支出2309万元，灾害防治及应急管理支出104747万元，其他支出4748万元。</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lang w:val="en-US" w:eastAsia="zh-CN"/>
        </w:rPr>
      </w:pPr>
      <w:r>
        <w:rPr>
          <w:rFonts w:hint="eastAsia" w:ascii="仿宋_GB2312" w:hAnsi="仿宋_GB2312" w:eastAsia="仿宋_GB2312" w:cs="仿宋_GB2312"/>
          <w:sz w:val="32"/>
          <w:szCs w:val="32"/>
          <w:highlight w:val="none"/>
          <w:lang w:val="en-US" w:eastAsia="zh-CN"/>
        </w:rPr>
        <w:t>国有资本经营预算收到级转移支付1890万元（含专项转移支付结余236万元），全部用于解决历史遗留问题及改革成本支出。</w:t>
      </w:r>
    </w:p>
    <w:p>
      <w:pPr>
        <w:keepNext w:val="0"/>
        <w:keepLines w:val="0"/>
        <w:pageBreakBefore w:val="0"/>
        <w:widowControl w:val="0"/>
        <w:numPr>
          <w:ilvl w:val="0"/>
          <w:numId w:val="0"/>
        </w:numPr>
        <w:kinsoku/>
        <w:wordWrap/>
        <w:overflowPunct/>
        <w:topLinePunct w:val="0"/>
        <w:autoSpaceDE/>
        <w:autoSpaceDN/>
        <w:bidi w:val="0"/>
        <w:adjustRightInd/>
        <w:spacing w:line="560" w:lineRule="exact"/>
        <w:ind w:left="160" w:leftChars="0" w:firstLine="42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我区参照部门模式管理王佐镇及北宫镇预算，因此无对下级转移支付。</w:t>
      </w:r>
    </w:p>
    <w:p>
      <w:pPr>
        <w:pStyle w:val="5"/>
        <w:keepNext w:val="0"/>
        <w:keepLines w:val="0"/>
        <w:pageBreakBefore w:val="0"/>
        <w:widowControl w:val="0"/>
        <w:numPr>
          <w:ilvl w:val="0"/>
          <w:numId w:val="0"/>
        </w:numPr>
        <w:kinsoku/>
        <w:wordWrap/>
        <w:overflowPunct/>
        <w:topLinePunct w:val="0"/>
        <w:autoSpaceDE/>
        <w:autoSpaceDN/>
        <w:bidi w:val="0"/>
        <w:adjustRightInd/>
        <w:spacing w:line="560" w:lineRule="exact"/>
        <w:ind w:left="160" w:leftChars="0"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二、政府债务情况说明</w:t>
      </w:r>
    </w:p>
    <w:p>
      <w:pPr>
        <w:keepNext w:val="0"/>
        <w:keepLines w:val="0"/>
        <w:pageBreakBefore w:val="0"/>
        <w:widowControl w:val="0"/>
        <w:kinsoku/>
        <w:wordWrap/>
        <w:overflowPunct/>
        <w:topLinePunct w:val="0"/>
        <w:autoSpaceDE/>
        <w:autoSpaceDN/>
        <w:bidi w:val="0"/>
        <w:adjustRightInd/>
        <w:spacing w:line="560" w:lineRule="exact"/>
        <w:ind w:firstLine="696" w:firstLineChars="200"/>
        <w:textAlignment w:val="auto"/>
        <w:rPr>
          <w:rFonts w:hint="eastAsia" w:ascii="仿宋_GB2312" w:hAnsi="仿宋" w:eastAsia="仿宋_GB2312" w:cs="Times New Roman"/>
          <w:spacing w:val="14"/>
          <w:sz w:val="32"/>
          <w:szCs w:val="32"/>
          <w:lang w:eastAsia="zh-CN"/>
        </w:rPr>
      </w:pPr>
      <w:r>
        <w:rPr>
          <w:rFonts w:hint="eastAsia" w:ascii="仿宋_GB2312" w:hAnsi="仿宋" w:eastAsia="仿宋_GB2312" w:cs="Times New Roman"/>
          <w:spacing w:val="14"/>
          <w:sz w:val="32"/>
          <w:szCs w:val="32"/>
          <w:lang w:val="en-US" w:eastAsia="zh-CN"/>
        </w:rPr>
        <w:t>2024年</w:t>
      </w:r>
      <w:r>
        <w:rPr>
          <w:rFonts w:hint="eastAsia" w:ascii="仿宋_GB2312" w:hAnsi="仿宋" w:eastAsia="仿宋_GB2312" w:cs="Times New Roman"/>
          <w:spacing w:val="14"/>
          <w:sz w:val="32"/>
          <w:szCs w:val="32"/>
        </w:rPr>
        <w:t>申请政府债券</w:t>
      </w:r>
      <w:r>
        <w:rPr>
          <w:rFonts w:hint="eastAsia" w:ascii="仿宋_GB2312" w:hAnsi="仿宋" w:eastAsia="仿宋_GB2312" w:cs="Times New Roman"/>
          <w:spacing w:val="14"/>
          <w:sz w:val="32"/>
          <w:szCs w:val="32"/>
          <w:lang w:val="en-US" w:eastAsia="zh-CN"/>
        </w:rPr>
        <w:t>791260</w:t>
      </w:r>
      <w:r>
        <w:rPr>
          <w:rFonts w:hint="eastAsia" w:ascii="仿宋_GB2312" w:hAnsi="仿宋" w:eastAsia="仿宋_GB2312" w:cs="Times New Roman"/>
          <w:spacing w:val="14"/>
          <w:sz w:val="32"/>
          <w:szCs w:val="32"/>
        </w:rPr>
        <w:t>万元。其中，新增债券</w:t>
      </w:r>
      <w:r>
        <w:rPr>
          <w:rFonts w:hint="eastAsia" w:ascii="仿宋_GB2312" w:hAnsi="仿宋" w:eastAsia="仿宋_GB2312" w:cs="Times New Roman"/>
          <w:spacing w:val="14"/>
          <w:sz w:val="32"/>
          <w:szCs w:val="32"/>
          <w:lang w:val="en-US" w:eastAsia="zh-CN"/>
        </w:rPr>
        <w:t>280000</w:t>
      </w:r>
      <w:r>
        <w:rPr>
          <w:rFonts w:hint="eastAsia" w:ascii="仿宋_GB2312" w:hAnsi="仿宋" w:eastAsia="仿宋_GB2312" w:cs="Times New Roman"/>
          <w:spacing w:val="14"/>
          <w:sz w:val="32"/>
          <w:szCs w:val="32"/>
        </w:rPr>
        <w:t>万元，</w:t>
      </w:r>
      <w:r>
        <w:rPr>
          <w:rFonts w:hint="eastAsia" w:ascii="仿宋_GB2312" w:hAnsi="仿宋" w:eastAsia="仿宋_GB2312" w:cs="Times New Roman"/>
          <w:spacing w:val="14"/>
          <w:sz w:val="32"/>
          <w:szCs w:val="32"/>
          <w:lang w:eastAsia="zh-CN"/>
        </w:rPr>
        <w:t>全部为专项债券，</w:t>
      </w:r>
      <w:r>
        <w:rPr>
          <w:rFonts w:hint="eastAsia" w:ascii="仿宋_GB2312" w:hAnsi="仿宋" w:eastAsia="仿宋_GB2312"/>
          <w:bCs/>
          <w:spacing w:val="14"/>
          <w:sz w:val="32"/>
          <w:szCs w:val="32"/>
          <w:highlight w:val="none"/>
        </w:rPr>
        <w:t>用于</w:t>
      </w:r>
      <w:r>
        <w:rPr>
          <w:rFonts w:hint="eastAsia" w:ascii="仿宋_GB2312" w:hAnsi="仿宋" w:eastAsia="仿宋_GB2312"/>
          <w:bCs/>
          <w:spacing w:val="14"/>
          <w:sz w:val="32"/>
          <w:szCs w:val="32"/>
          <w:highlight w:val="none"/>
          <w:lang w:eastAsia="zh-CN"/>
        </w:rPr>
        <w:t>棚户区改造</w:t>
      </w:r>
      <w:r>
        <w:rPr>
          <w:rFonts w:hint="eastAsia" w:ascii="仿宋_GB2312" w:hAnsi="仿宋" w:eastAsia="仿宋_GB2312"/>
          <w:bCs/>
          <w:spacing w:val="14"/>
          <w:sz w:val="32"/>
          <w:szCs w:val="32"/>
          <w:highlight w:val="none"/>
        </w:rPr>
        <w:t>项目</w:t>
      </w:r>
      <w:r>
        <w:rPr>
          <w:rFonts w:hint="eastAsia" w:ascii="仿宋_GB2312" w:hAnsi="仿宋" w:eastAsia="仿宋_GB2312" w:cs="Times New Roman"/>
          <w:spacing w:val="14"/>
          <w:sz w:val="32"/>
          <w:szCs w:val="32"/>
          <w:lang w:eastAsia="zh-CN"/>
        </w:rPr>
        <w:t>；</w:t>
      </w:r>
      <w:r>
        <w:rPr>
          <w:rFonts w:hint="eastAsia" w:ascii="仿宋_GB2312" w:hAnsi="仿宋" w:eastAsia="仿宋_GB2312" w:cs="Times New Roman"/>
          <w:spacing w:val="14"/>
          <w:sz w:val="32"/>
          <w:szCs w:val="32"/>
        </w:rPr>
        <w:t>再融资债券</w:t>
      </w:r>
      <w:r>
        <w:rPr>
          <w:rFonts w:hint="eastAsia" w:ascii="仿宋_GB2312" w:hAnsi="仿宋" w:eastAsia="仿宋_GB2312" w:cs="Times New Roman"/>
          <w:spacing w:val="14"/>
          <w:sz w:val="32"/>
          <w:szCs w:val="32"/>
          <w:lang w:val="en-US" w:eastAsia="zh-CN"/>
        </w:rPr>
        <w:t>511260</w:t>
      </w:r>
      <w:r>
        <w:rPr>
          <w:rFonts w:hint="eastAsia" w:ascii="仿宋_GB2312" w:hAnsi="仿宋" w:eastAsia="仿宋_GB2312" w:cs="Times New Roman"/>
          <w:spacing w:val="14"/>
          <w:sz w:val="32"/>
          <w:szCs w:val="32"/>
        </w:rPr>
        <w:t>万元</w:t>
      </w:r>
      <w:r>
        <w:rPr>
          <w:rFonts w:hint="eastAsia" w:ascii="仿宋_GB2312" w:hAnsi="仿宋" w:eastAsia="仿宋_GB2312" w:cs="Times New Roman"/>
          <w:spacing w:val="14"/>
          <w:sz w:val="32"/>
          <w:szCs w:val="32"/>
          <w:lang w:val="en-US" w:eastAsia="zh-CN"/>
        </w:rPr>
        <w:t>,包括一般债券17000万元、</w:t>
      </w:r>
      <w:r>
        <w:rPr>
          <w:rFonts w:hint="eastAsia" w:ascii="仿宋_GB2312" w:hAnsi="仿宋" w:eastAsia="仿宋_GB2312"/>
          <w:bCs/>
          <w:spacing w:val="14"/>
          <w:sz w:val="32"/>
          <w:szCs w:val="32"/>
          <w:lang w:eastAsia="zh-CN"/>
        </w:rPr>
        <w:t>专项债券</w:t>
      </w:r>
      <w:r>
        <w:rPr>
          <w:rFonts w:hint="eastAsia" w:ascii="仿宋_GB2312" w:hAnsi="仿宋" w:eastAsia="仿宋_GB2312"/>
          <w:bCs/>
          <w:spacing w:val="14"/>
          <w:sz w:val="32"/>
          <w:szCs w:val="32"/>
          <w:lang w:val="en-US" w:eastAsia="zh-CN"/>
        </w:rPr>
        <w:t>494260</w:t>
      </w:r>
      <w:r>
        <w:rPr>
          <w:rFonts w:hint="eastAsia" w:ascii="仿宋_GB2312" w:hAnsi="仿宋" w:eastAsia="仿宋_GB2312"/>
          <w:bCs/>
          <w:spacing w:val="14"/>
          <w:sz w:val="32"/>
          <w:szCs w:val="32"/>
        </w:rPr>
        <w:t>万元</w:t>
      </w:r>
      <w:r>
        <w:rPr>
          <w:rFonts w:hint="eastAsia" w:ascii="仿宋_GB2312" w:hAnsi="仿宋" w:eastAsia="仿宋_GB2312"/>
          <w:bCs/>
          <w:spacing w:val="14"/>
          <w:sz w:val="32"/>
          <w:szCs w:val="32"/>
          <w:lang w:eastAsia="zh-CN"/>
        </w:rPr>
        <w:t>。</w:t>
      </w:r>
      <w:r>
        <w:rPr>
          <w:rFonts w:hint="eastAsia" w:ascii="仿宋_GB2312" w:hAnsi="仿宋" w:eastAsia="仿宋_GB2312" w:cs="Times New Roman"/>
          <w:spacing w:val="14"/>
          <w:sz w:val="32"/>
          <w:szCs w:val="32"/>
        </w:rPr>
        <w:t>经区人大常委会批准，</w:t>
      </w:r>
      <w:r>
        <w:rPr>
          <w:rFonts w:hint="eastAsia" w:ascii="仿宋_GB2312" w:hAnsi="仿宋" w:eastAsia="仿宋_GB2312" w:cs="Times New Roman"/>
          <w:spacing w:val="14"/>
          <w:sz w:val="32"/>
          <w:szCs w:val="32"/>
          <w:lang w:eastAsia="zh-CN"/>
        </w:rPr>
        <w:t>上述政府</w:t>
      </w:r>
      <w:r>
        <w:rPr>
          <w:rFonts w:hint="eastAsia" w:ascii="仿宋_GB2312" w:hAnsi="仿宋" w:eastAsia="仿宋_GB2312" w:cs="Times New Roman"/>
          <w:spacing w:val="14"/>
          <w:sz w:val="32"/>
          <w:szCs w:val="32"/>
        </w:rPr>
        <w:t>债券分类列入一般公共预算和政府性基金预算</w:t>
      </w:r>
      <w:r>
        <w:rPr>
          <w:rFonts w:hint="eastAsia" w:ascii="仿宋_GB2312" w:hAnsi="仿宋" w:eastAsia="仿宋_GB2312" w:cs="Times New Roman"/>
          <w:spacing w:val="14"/>
          <w:sz w:val="32"/>
          <w:szCs w:val="32"/>
          <w:lang w:eastAsia="zh-CN"/>
        </w:rPr>
        <w:t>。</w:t>
      </w:r>
    </w:p>
    <w:p>
      <w:pPr>
        <w:keepNext w:val="0"/>
        <w:keepLines w:val="0"/>
        <w:pageBreakBefore w:val="0"/>
        <w:widowControl w:val="0"/>
        <w:kinsoku/>
        <w:wordWrap/>
        <w:overflowPunct/>
        <w:topLinePunct w:val="0"/>
        <w:autoSpaceDE/>
        <w:autoSpaceDN/>
        <w:bidi w:val="0"/>
        <w:adjustRightInd/>
        <w:spacing w:line="560" w:lineRule="exact"/>
        <w:ind w:firstLine="696" w:firstLineChars="200"/>
        <w:textAlignment w:val="auto"/>
        <w:rPr>
          <w:rFonts w:hint="eastAsia" w:ascii="仿宋_GB2312" w:hAnsi="仿宋" w:eastAsia="仿宋_GB2312" w:cs="Times New Roman"/>
          <w:spacing w:val="14"/>
          <w:sz w:val="32"/>
          <w:szCs w:val="32"/>
          <w:highlight w:val="none"/>
        </w:rPr>
      </w:pPr>
      <w:r>
        <w:rPr>
          <w:rFonts w:hint="eastAsia" w:ascii="仿宋_GB2312" w:hAnsi="仿宋" w:eastAsia="仿宋_GB2312" w:cs="Times New Roman"/>
          <w:spacing w:val="14"/>
          <w:sz w:val="32"/>
          <w:szCs w:val="32"/>
          <w:highlight w:val="none"/>
        </w:rPr>
        <w:t>20</w:t>
      </w:r>
      <w:r>
        <w:rPr>
          <w:rFonts w:hint="eastAsia" w:ascii="仿宋_GB2312" w:hAnsi="仿宋" w:eastAsia="仿宋_GB2312" w:cs="Times New Roman"/>
          <w:spacing w:val="14"/>
          <w:sz w:val="32"/>
          <w:szCs w:val="32"/>
          <w:highlight w:val="none"/>
          <w:lang w:val="en-US" w:eastAsia="zh-CN"/>
        </w:rPr>
        <w:t>24</w:t>
      </w:r>
      <w:r>
        <w:rPr>
          <w:rFonts w:hint="eastAsia" w:ascii="仿宋_GB2312" w:hAnsi="仿宋" w:eastAsia="仿宋_GB2312" w:cs="Times New Roman"/>
          <w:spacing w:val="14"/>
          <w:sz w:val="32"/>
          <w:szCs w:val="32"/>
          <w:highlight w:val="none"/>
        </w:rPr>
        <w:t>年我区</w:t>
      </w:r>
      <w:r>
        <w:rPr>
          <w:rFonts w:hint="eastAsia" w:ascii="仿宋_GB2312" w:hAnsi="仿宋" w:eastAsia="仿宋_GB2312" w:cs="Times New Roman"/>
          <w:spacing w:val="14"/>
          <w:sz w:val="32"/>
          <w:szCs w:val="32"/>
          <w:highlight w:val="none"/>
          <w:lang w:eastAsia="zh-CN"/>
        </w:rPr>
        <w:t>偿还</w:t>
      </w:r>
      <w:r>
        <w:rPr>
          <w:rFonts w:hint="eastAsia" w:ascii="仿宋_GB2312" w:hAnsi="仿宋" w:eastAsia="仿宋_GB2312" w:cs="Times New Roman"/>
          <w:spacing w:val="14"/>
          <w:sz w:val="32"/>
          <w:szCs w:val="32"/>
          <w:highlight w:val="none"/>
        </w:rPr>
        <w:t>政府债务本金</w:t>
      </w:r>
      <w:r>
        <w:rPr>
          <w:rFonts w:hint="eastAsia" w:ascii="仿宋_GB2312" w:hAnsi="仿宋" w:eastAsia="仿宋_GB2312" w:cs="Times New Roman"/>
          <w:spacing w:val="14"/>
          <w:sz w:val="32"/>
          <w:szCs w:val="32"/>
          <w:highlight w:val="none"/>
          <w:lang w:val="en-US" w:eastAsia="zh-CN"/>
        </w:rPr>
        <w:t>1448860</w:t>
      </w:r>
      <w:r>
        <w:rPr>
          <w:rFonts w:hint="eastAsia" w:ascii="仿宋_GB2312" w:hAnsi="仿宋" w:eastAsia="仿宋_GB2312" w:cs="Times New Roman"/>
          <w:spacing w:val="14"/>
          <w:sz w:val="32"/>
          <w:szCs w:val="32"/>
          <w:highlight w:val="none"/>
        </w:rPr>
        <w:t>万元，</w:t>
      </w:r>
      <w:r>
        <w:rPr>
          <w:rFonts w:hint="eastAsia" w:ascii="仿宋_GB2312" w:hAnsi="仿宋" w:eastAsia="仿宋_GB2312" w:cs="Times New Roman"/>
          <w:spacing w:val="14"/>
          <w:sz w:val="32"/>
          <w:szCs w:val="32"/>
          <w:highlight w:val="none"/>
          <w:lang w:eastAsia="zh-CN"/>
        </w:rPr>
        <w:t>其中一般债券</w:t>
      </w:r>
      <w:r>
        <w:rPr>
          <w:rFonts w:hint="eastAsia" w:ascii="仿宋_GB2312" w:hAnsi="仿宋" w:eastAsia="仿宋_GB2312" w:cs="Times New Roman"/>
          <w:spacing w:val="14"/>
          <w:sz w:val="32"/>
          <w:szCs w:val="32"/>
          <w:highlight w:val="none"/>
          <w:lang w:val="en-US" w:eastAsia="zh-CN"/>
        </w:rPr>
        <w:t>17000万元，全部</w:t>
      </w:r>
      <w:r>
        <w:rPr>
          <w:rFonts w:hint="eastAsia" w:ascii="仿宋_GB2312" w:hAnsi="仿宋" w:eastAsia="仿宋_GB2312" w:cs="Times New Roman"/>
          <w:spacing w:val="14"/>
          <w:sz w:val="32"/>
          <w:szCs w:val="32"/>
          <w:highlight w:val="none"/>
        </w:rPr>
        <w:t>使用再融资债券偿还</w:t>
      </w:r>
      <w:r>
        <w:rPr>
          <w:rFonts w:hint="eastAsia" w:ascii="仿宋_GB2312" w:hAnsi="仿宋" w:eastAsia="仿宋_GB2312" w:cs="Times New Roman"/>
          <w:spacing w:val="14"/>
          <w:sz w:val="32"/>
          <w:szCs w:val="32"/>
          <w:highlight w:val="none"/>
          <w:lang w:eastAsia="zh-CN"/>
        </w:rPr>
        <w:t>；专项债券</w:t>
      </w:r>
      <w:r>
        <w:rPr>
          <w:rFonts w:hint="eastAsia" w:ascii="仿宋_GB2312" w:hAnsi="仿宋" w:eastAsia="仿宋_GB2312" w:cs="Times New Roman"/>
          <w:spacing w:val="14"/>
          <w:sz w:val="32"/>
          <w:szCs w:val="32"/>
          <w:highlight w:val="none"/>
          <w:lang w:val="en-US" w:eastAsia="zh-CN"/>
        </w:rPr>
        <w:t>1431860</w:t>
      </w:r>
      <w:r>
        <w:rPr>
          <w:rFonts w:hint="eastAsia" w:ascii="仿宋_GB2312" w:hAnsi="仿宋" w:eastAsia="仿宋_GB2312" w:cs="Times New Roman"/>
          <w:spacing w:val="14"/>
          <w:sz w:val="32"/>
          <w:szCs w:val="32"/>
          <w:highlight w:val="none"/>
        </w:rPr>
        <w:t>万元</w:t>
      </w:r>
      <w:r>
        <w:rPr>
          <w:rFonts w:hint="eastAsia" w:ascii="仿宋_GB2312" w:hAnsi="仿宋" w:eastAsia="仿宋_GB2312" w:cs="Times New Roman"/>
          <w:spacing w:val="14"/>
          <w:sz w:val="32"/>
          <w:szCs w:val="32"/>
          <w:highlight w:val="none"/>
          <w:lang w:eastAsia="zh-CN"/>
        </w:rPr>
        <w:t>，使用</w:t>
      </w:r>
      <w:r>
        <w:rPr>
          <w:rFonts w:hint="eastAsia" w:ascii="仿宋_GB2312" w:hAnsi="仿宋" w:eastAsia="仿宋_GB2312" w:cs="Times New Roman"/>
          <w:spacing w:val="14"/>
          <w:sz w:val="32"/>
          <w:szCs w:val="32"/>
          <w:highlight w:val="none"/>
        </w:rPr>
        <w:t>再融资债券偿还</w:t>
      </w:r>
      <w:r>
        <w:rPr>
          <w:rFonts w:hint="eastAsia" w:ascii="仿宋_GB2312" w:hAnsi="仿宋" w:eastAsia="仿宋_GB2312" w:cs="Times New Roman"/>
          <w:spacing w:val="14"/>
          <w:sz w:val="32"/>
          <w:szCs w:val="32"/>
          <w:highlight w:val="none"/>
          <w:lang w:val="en-US" w:eastAsia="zh-CN"/>
        </w:rPr>
        <w:t>494260亿元，使用区级资金偿还937600亿元</w:t>
      </w:r>
      <w:r>
        <w:rPr>
          <w:rFonts w:hint="eastAsia" w:ascii="仿宋_GB2312" w:hAnsi="仿宋" w:eastAsia="仿宋_GB2312" w:cs="Times New Roman"/>
          <w:spacing w:val="14"/>
          <w:sz w:val="32"/>
          <w:szCs w:val="32"/>
          <w:highlight w:val="none"/>
        </w:rPr>
        <w:t>。</w:t>
      </w:r>
      <w:r>
        <w:rPr>
          <w:rFonts w:hint="eastAsia" w:ascii="仿宋_GB2312" w:hAnsi="仿宋" w:eastAsia="仿宋_GB2312" w:cs="Times New Roman"/>
          <w:spacing w:val="14"/>
          <w:sz w:val="32"/>
          <w:szCs w:val="32"/>
          <w:highlight w:val="none"/>
          <w:lang w:eastAsia="zh-CN"/>
        </w:rPr>
        <w:t>支付</w:t>
      </w:r>
      <w:r>
        <w:rPr>
          <w:rFonts w:hint="eastAsia" w:ascii="仿宋_GB2312" w:hAnsi="仿宋" w:eastAsia="仿宋_GB2312" w:cs="Times New Roman"/>
          <w:spacing w:val="14"/>
          <w:sz w:val="32"/>
          <w:szCs w:val="32"/>
          <w:highlight w:val="none"/>
        </w:rPr>
        <w:t>一般债务利息及相关手续费</w:t>
      </w:r>
      <w:r>
        <w:rPr>
          <w:rFonts w:hint="eastAsia" w:ascii="仿宋_GB2312" w:hAnsi="仿宋" w:eastAsia="仿宋_GB2312" w:cs="Times New Roman"/>
          <w:spacing w:val="14"/>
          <w:sz w:val="32"/>
          <w:szCs w:val="32"/>
          <w:highlight w:val="none"/>
          <w:lang w:val="en-US" w:eastAsia="zh-CN"/>
        </w:rPr>
        <w:t>48416</w:t>
      </w:r>
      <w:r>
        <w:rPr>
          <w:rFonts w:hint="eastAsia" w:ascii="仿宋_GB2312" w:hAnsi="仿宋" w:eastAsia="仿宋_GB2312" w:cs="Times New Roman"/>
          <w:spacing w:val="14"/>
          <w:sz w:val="32"/>
          <w:szCs w:val="32"/>
          <w:highlight w:val="none"/>
        </w:rPr>
        <w:t>万元、专项债务利息及相关手续费</w:t>
      </w:r>
      <w:r>
        <w:rPr>
          <w:rFonts w:hint="eastAsia" w:ascii="仿宋_GB2312" w:hAnsi="仿宋" w:eastAsia="仿宋_GB2312" w:cs="Times New Roman"/>
          <w:spacing w:val="14"/>
          <w:sz w:val="32"/>
          <w:szCs w:val="32"/>
          <w:highlight w:val="none"/>
          <w:lang w:val="en-US" w:eastAsia="zh-CN"/>
        </w:rPr>
        <w:t>368283</w:t>
      </w:r>
      <w:r>
        <w:rPr>
          <w:rFonts w:hint="eastAsia" w:ascii="仿宋_GB2312" w:hAnsi="仿宋" w:eastAsia="仿宋_GB2312" w:cs="Times New Roman"/>
          <w:spacing w:val="14"/>
          <w:sz w:val="32"/>
          <w:szCs w:val="32"/>
          <w:highlight w:val="none"/>
        </w:rPr>
        <w:t>万元，分别使用一般公共预算资金和政府性基金预算资金支付。</w:t>
      </w:r>
    </w:p>
    <w:p>
      <w:pPr>
        <w:keepNext w:val="0"/>
        <w:keepLines w:val="0"/>
        <w:pageBreakBefore w:val="0"/>
        <w:widowControl w:val="0"/>
        <w:kinsoku/>
        <w:wordWrap/>
        <w:overflowPunct/>
        <w:topLinePunct w:val="0"/>
        <w:autoSpaceDE/>
        <w:autoSpaceDN/>
        <w:bidi w:val="0"/>
        <w:adjustRightInd/>
        <w:spacing w:line="560" w:lineRule="exact"/>
        <w:ind w:firstLine="696" w:firstLineChars="200"/>
        <w:textAlignment w:val="auto"/>
        <w:rPr>
          <w:rFonts w:hint="eastAsia" w:ascii="仿宋_GB2312" w:hAnsi="仿宋" w:eastAsia="仿宋_GB2312"/>
          <w:bCs/>
          <w:spacing w:val="14"/>
          <w:sz w:val="32"/>
          <w:szCs w:val="32"/>
          <w:highlight w:val="none"/>
        </w:rPr>
      </w:pPr>
      <w:r>
        <w:rPr>
          <w:rFonts w:hint="eastAsia" w:ascii="仿宋_GB2312" w:hAnsi="仿宋" w:eastAsia="仿宋_GB2312"/>
          <w:bCs/>
          <w:spacing w:val="14"/>
          <w:sz w:val="32"/>
          <w:szCs w:val="32"/>
          <w:highlight w:val="none"/>
        </w:rPr>
        <w:t>截至202</w:t>
      </w:r>
      <w:r>
        <w:rPr>
          <w:rFonts w:hint="eastAsia" w:ascii="仿宋_GB2312" w:hAnsi="仿宋" w:eastAsia="仿宋_GB2312"/>
          <w:bCs/>
          <w:spacing w:val="14"/>
          <w:sz w:val="32"/>
          <w:szCs w:val="32"/>
          <w:highlight w:val="none"/>
          <w:lang w:val="en-US" w:eastAsia="zh-CN"/>
        </w:rPr>
        <w:t>4</w:t>
      </w:r>
      <w:r>
        <w:rPr>
          <w:rFonts w:hint="eastAsia" w:ascii="仿宋_GB2312" w:hAnsi="仿宋" w:eastAsia="仿宋_GB2312"/>
          <w:bCs/>
          <w:spacing w:val="14"/>
          <w:sz w:val="32"/>
          <w:szCs w:val="32"/>
          <w:highlight w:val="none"/>
        </w:rPr>
        <w:t>年末，我区政府债务余额</w:t>
      </w:r>
      <w:r>
        <w:rPr>
          <w:rFonts w:hint="eastAsia" w:ascii="仿宋_GB2312" w:hAnsi="仿宋" w:eastAsia="仿宋_GB2312"/>
          <w:bCs/>
          <w:spacing w:val="14"/>
          <w:sz w:val="32"/>
          <w:szCs w:val="32"/>
          <w:highlight w:val="none"/>
          <w:lang w:val="en-US" w:eastAsia="zh-CN"/>
        </w:rPr>
        <w:t>13170863</w:t>
      </w:r>
      <w:r>
        <w:rPr>
          <w:rFonts w:hint="eastAsia" w:ascii="仿宋_GB2312" w:hAnsi="仿宋" w:eastAsia="仿宋_GB2312"/>
          <w:bCs/>
          <w:spacing w:val="14"/>
          <w:sz w:val="32"/>
          <w:szCs w:val="32"/>
          <w:highlight w:val="none"/>
        </w:rPr>
        <w:t>万元。其中，一般债务</w:t>
      </w:r>
      <w:r>
        <w:rPr>
          <w:rFonts w:hint="eastAsia" w:ascii="仿宋_GB2312" w:hAnsi="仿宋" w:eastAsia="仿宋_GB2312"/>
          <w:bCs/>
          <w:spacing w:val="14"/>
          <w:sz w:val="32"/>
          <w:szCs w:val="32"/>
          <w:highlight w:val="none"/>
          <w:lang w:val="en-US" w:eastAsia="zh-CN"/>
        </w:rPr>
        <w:t>1446468</w:t>
      </w:r>
      <w:r>
        <w:rPr>
          <w:rFonts w:hint="eastAsia" w:ascii="仿宋_GB2312" w:hAnsi="仿宋" w:eastAsia="仿宋_GB2312"/>
          <w:bCs/>
          <w:spacing w:val="14"/>
          <w:sz w:val="32"/>
          <w:szCs w:val="32"/>
          <w:highlight w:val="none"/>
        </w:rPr>
        <w:t>万元，专项债务</w:t>
      </w:r>
      <w:r>
        <w:rPr>
          <w:rFonts w:hint="eastAsia" w:ascii="仿宋_GB2312" w:hAnsi="仿宋" w:eastAsia="仿宋_GB2312"/>
          <w:bCs/>
          <w:spacing w:val="14"/>
          <w:sz w:val="32"/>
          <w:szCs w:val="32"/>
          <w:highlight w:val="none"/>
          <w:lang w:val="en-US" w:eastAsia="zh-CN"/>
        </w:rPr>
        <w:t>11724395</w:t>
      </w:r>
      <w:r>
        <w:rPr>
          <w:rFonts w:hint="eastAsia" w:ascii="仿宋_GB2312" w:hAnsi="仿宋" w:eastAsia="仿宋_GB2312"/>
          <w:bCs/>
          <w:spacing w:val="14"/>
          <w:sz w:val="32"/>
          <w:szCs w:val="32"/>
          <w:highlight w:val="none"/>
        </w:rPr>
        <w:t>万元。债务规模保持在限额以内，风险可控。</w:t>
      </w:r>
    </w:p>
    <w:p>
      <w:pPr>
        <w:keepNext w:val="0"/>
        <w:keepLines w:val="0"/>
        <w:pageBreakBefore w:val="0"/>
        <w:widowControl w:val="0"/>
        <w:kinsoku/>
        <w:wordWrap/>
        <w:overflowPunct/>
        <w:topLinePunct w:val="0"/>
        <w:autoSpaceDE/>
        <w:autoSpaceDN/>
        <w:bidi w:val="0"/>
        <w:adjustRightInd/>
        <w:spacing w:line="560" w:lineRule="exact"/>
        <w:ind w:firstLine="696" w:firstLineChars="200"/>
        <w:textAlignment w:val="auto"/>
        <w:rPr>
          <w:rFonts w:hint="eastAsia" w:ascii="仿宋_GB2312" w:hAnsi="仿宋" w:eastAsia="仿宋_GB2312" w:cs="Times New Roman"/>
          <w:spacing w:val="14"/>
          <w:sz w:val="32"/>
          <w:szCs w:val="32"/>
          <w:highlight w:val="none"/>
          <w:lang w:val="en-US" w:eastAsia="zh-CN"/>
        </w:rPr>
      </w:pPr>
      <w:r>
        <w:rPr>
          <w:rFonts w:hint="eastAsia" w:ascii="仿宋_GB2312" w:hAnsi="仿宋" w:eastAsia="仿宋_GB2312" w:cs="Times New Roman"/>
          <w:spacing w:val="14"/>
          <w:sz w:val="32"/>
          <w:szCs w:val="32"/>
          <w:highlight w:val="none"/>
          <w:lang w:eastAsia="zh-CN"/>
        </w:rPr>
        <w:t>（</w:t>
      </w:r>
      <w:r>
        <w:rPr>
          <w:rFonts w:hint="eastAsia" w:ascii="仿宋_GB2312" w:hAnsi="仿宋" w:eastAsia="仿宋_GB2312" w:cs="Times New Roman"/>
          <w:spacing w:val="14"/>
          <w:sz w:val="32"/>
          <w:szCs w:val="32"/>
          <w:highlight w:val="none"/>
          <w:lang w:val="en-US" w:eastAsia="zh-CN"/>
        </w:rPr>
        <w:t>2024年数据均为预计执行情况，可能与最终决算数据存在一定差异</w:t>
      </w:r>
      <w:r>
        <w:rPr>
          <w:rFonts w:hint="eastAsia" w:ascii="仿宋_GB2312" w:hAnsi="仿宋" w:eastAsia="仿宋_GB2312" w:cs="Times New Roman"/>
          <w:spacing w:val="14"/>
          <w:sz w:val="32"/>
          <w:szCs w:val="32"/>
          <w:highlight w:val="none"/>
          <w:lang w:eastAsia="zh-CN"/>
        </w:rPr>
        <w:t>）</w:t>
      </w:r>
    </w:p>
    <w:p>
      <w:pPr>
        <w:pStyle w:val="5"/>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三、一般公共预算“三公”经费预算安排说明</w:t>
      </w:r>
    </w:p>
    <w:p>
      <w:pPr>
        <w:keepNext w:val="0"/>
        <w:keepLines w:val="0"/>
        <w:pageBreakBefore w:val="0"/>
        <w:widowControl w:val="0"/>
        <w:kinsoku/>
        <w:wordWrap/>
        <w:overflowPunct/>
        <w:topLinePunct w:val="0"/>
        <w:autoSpaceDE/>
        <w:autoSpaceDN/>
        <w:bidi w:val="0"/>
        <w:spacing w:line="560" w:lineRule="exact"/>
        <w:ind w:firstLine="696" w:firstLineChars="200"/>
        <w:textAlignment w:val="auto"/>
        <w:rPr>
          <w:rFonts w:hint="eastAsia" w:ascii="仿宋_GB2312" w:hAnsi="仿宋" w:eastAsia="仿宋_GB2312" w:cs="Times New Roman"/>
          <w:bCs/>
          <w:spacing w:val="14"/>
          <w:sz w:val="32"/>
          <w:szCs w:val="32"/>
        </w:rPr>
      </w:pPr>
      <w:r>
        <w:rPr>
          <w:rFonts w:hint="eastAsia" w:ascii="仿宋_GB2312" w:hAnsi="仿宋" w:eastAsia="仿宋_GB2312" w:cs="Times New Roman"/>
          <w:bCs/>
          <w:spacing w:val="14"/>
          <w:sz w:val="32"/>
          <w:szCs w:val="32"/>
        </w:rPr>
        <w:t>202</w:t>
      </w:r>
      <w:r>
        <w:rPr>
          <w:rFonts w:hint="eastAsia" w:ascii="仿宋_GB2312" w:hAnsi="仿宋" w:eastAsia="仿宋_GB2312" w:cs="Times New Roman"/>
          <w:bCs/>
          <w:spacing w:val="14"/>
          <w:sz w:val="32"/>
          <w:szCs w:val="32"/>
          <w:lang w:val="en-US" w:eastAsia="zh-CN"/>
        </w:rPr>
        <w:t>5</w:t>
      </w:r>
      <w:r>
        <w:rPr>
          <w:rFonts w:hint="eastAsia" w:ascii="仿宋_GB2312" w:hAnsi="仿宋" w:eastAsia="仿宋_GB2312" w:cs="Times New Roman"/>
          <w:bCs/>
          <w:spacing w:val="14"/>
          <w:sz w:val="32"/>
          <w:szCs w:val="32"/>
        </w:rPr>
        <w:t>年，区级党政机关、事业单位的“三公”经费财政拨款支出预算安排7</w:t>
      </w:r>
      <w:r>
        <w:rPr>
          <w:rFonts w:hint="eastAsia" w:ascii="仿宋_GB2312" w:hAnsi="仿宋" w:eastAsia="仿宋_GB2312" w:cs="Times New Roman"/>
          <w:bCs/>
          <w:spacing w:val="14"/>
          <w:sz w:val="32"/>
          <w:szCs w:val="32"/>
          <w:lang w:val="en-US" w:eastAsia="zh-CN"/>
        </w:rPr>
        <w:t>698</w:t>
      </w:r>
      <w:r>
        <w:rPr>
          <w:rFonts w:hint="eastAsia" w:ascii="仿宋_GB2312" w:hAnsi="仿宋" w:eastAsia="仿宋_GB2312" w:cs="Times New Roman"/>
          <w:bCs/>
          <w:spacing w:val="14"/>
          <w:sz w:val="32"/>
          <w:szCs w:val="32"/>
        </w:rPr>
        <w:t>万元，</w:t>
      </w:r>
      <w:r>
        <w:rPr>
          <w:rFonts w:hint="eastAsia" w:ascii="仿宋_GB2312" w:hAnsi="仿宋" w:eastAsia="仿宋_GB2312" w:cs="Times New Roman"/>
          <w:bCs/>
          <w:spacing w:val="14"/>
          <w:sz w:val="32"/>
          <w:szCs w:val="32"/>
          <w:lang w:eastAsia="zh-CN"/>
        </w:rPr>
        <w:t>与上年持平</w:t>
      </w:r>
      <w:r>
        <w:rPr>
          <w:rFonts w:hint="eastAsia" w:ascii="仿宋_GB2312" w:hAnsi="仿宋" w:eastAsia="仿宋_GB2312" w:cs="Times New Roman"/>
          <w:bCs/>
          <w:spacing w:val="14"/>
          <w:sz w:val="32"/>
          <w:szCs w:val="32"/>
        </w:rPr>
        <w:t>。其中，因公出国（境）经费623万元，公务接待费199万元，公务用车购置和运行维护费68</w:t>
      </w:r>
      <w:r>
        <w:rPr>
          <w:rFonts w:hint="eastAsia" w:ascii="仿宋_GB2312" w:hAnsi="仿宋" w:eastAsia="仿宋_GB2312" w:cs="Times New Roman"/>
          <w:bCs/>
          <w:spacing w:val="14"/>
          <w:sz w:val="32"/>
          <w:szCs w:val="32"/>
          <w:lang w:val="en-US" w:eastAsia="zh-CN"/>
        </w:rPr>
        <w:t>76</w:t>
      </w:r>
      <w:r>
        <w:rPr>
          <w:rFonts w:hint="eastAsia" w:ascii="仿宋_GB2312" w:hAnsi="仿宋" w:eastAsia="仿宋_GB2312" w:cs="Times New Roman"/>
          <w:bCs/>
          <w:spacing w:val="14"/>
          <w:sz w:val="32"/>
          <w:szCs w:val="32"/>
        </w:rPr>
        <w:t>万元（包括购置费1022万元、运行维护费58</w:t>
      </w:r>
      <w:r>
        <w:rPr>
          <w:rFonts w:hint="eastAsia" w:ascii="仿宋_GB2312" w:hAnsi="仿宋" w:eastAsia="仿宋_GB2312" w:cs="Times New Roman"/>
          <w:bCs/>
          <w:spacing w:val="14"/>
          <w:sz w:val="32"/>
          <w:szCs w:val="32"/>
          <w:lang w:val="en-US" w:eastAsia="zh-CN"/>
        </w:rPr>
        <w:t>54</w:t>
      </w:r>
      <w:r>
        <w:rPr>
          <w:rFonts w:hint="eastAsia" w:ascii="仿宋_GB2312" w:hAnsi="仿宋" w:eastAsia="仿宋_GB2312" w:cs="Times New Roman"/>
          <w:bCs/>
          <w:spacing w:val="14"/>
          <w:sz w:val="32"/>
          <w:szCs w:val="32"/>
        </w:rPr>
        <w:t>万元）。</w:t>
      </w:r>
    </w:p>
    <w:p>
      <w:pPr>
        <w:pStyle w:val="5"/>
        <w:keepNext w:val="0"/>
        <w:keepLines w:val="0"/>
        <w:pageBreakBefore w:val="0"/>
        <w:widowControl w:val="0"/>
        <w:numPr>
          <w:ilvl w:val="0"/>
          <w:numId w:val="0"/>
        </w:numPr>
        <w:kinsoku/>
        <w:wordWrap/>
        <w:overflowPunct/>
        <w:topLinePunct w:val="0"/>
        <w:autoSpaceDE/>
        <w:autoSpaceDN/>
        <w:bidi w:val="0"/>
        <w:adjustRightInd w:val="0"/>
        <w:spacing w:line="560" w:lineRule="exact"/>
        <w:ind w:left="160" w:lef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四、扶贫资金安排情况</w:t>
      </w:r>
    </w:p>
    <w:p>
      <w:pPr>
        <w:keepNext w:val="0"/>
        <w:keepLines w:val="0"/>
        <w:pageBreakBefore w:val="0"/>
        <w:widowControl w:val="0"/>
        <w:kinsoku/>
        <w:wordWrap/>
        <w:overflowPunct/>
        <w:topLinePunct w:val="0"/>
        <w:autoSpaceDE/>
        <w:autoSpaceDN/>
        <w:bidi w:val="0"/>
        <w:adjustRightInd w:val="0"/>
        <w:spacing w:line="560" w:lineRule="exact"/>
        <w:ind w:firstLine="640" w:firstLineChars="200"/>
        <w:textAlignment w:val="auto"/>
        <w:rPr>
          <w:rFonts w:hint="eastAsia" w:ascii="仿宋_GB2312" w:eastAsia="仿宋_GB2312" w:cs="仿宋_GB2312"/>
          <w:kern w:val="0"/>
          <w:sz w:val="32"/>
          <w:szCs w:val="32"/>
          <w:lang w:val="en-US" w:eastAsia="zh-CN"/>
        </w:rPr>
      </w:pPr>
      <w:r>
        <w:rPr>
          <w:rFonts w:hint="eastAsia" w:ascii="仿宋_GB2312" w:hAnsi="仿宋_GB2312" w:eastAsia="仿宋_GB2312" w:cs="仿宋_GB2312"/>
          <w:sz w:val="32"/>
          <w:szCs w:val="32"/>
          <w:highlight w:val="none"/>
          <w:shd w:val="clear" w:color="auto" w:fill="auto"/>
          <w:lang w:val="en-US" w:eastAsia="zh-CN"/>
        </w:rPr>
        <w:t>2025年区财政积极</w:t>
      </w:r>
      <w:r>
        <w:rPr>
          <w:rFonts w:hint="eastAsia" w:ascii="仿宋_GB2312" w:eastAsia="仿宋_GB2312" w:cs="仿宋_GB2312"/>
          <w:kern w:val="0"/>
          <w:sz w:val="32"/>
          <w:szCs w:val="32"/>
          <w:highlight w:val="none"/>
          <w:shd w:val="clear" w:color="auto" w:fill="auto"/>
          <w:lang w:val="en-US" w:eastAsia="zh-CN"/>
        </w:rPr>
        <w:t>筹措资金，安排扶贫资金</w:t>
      </w:r>
      <w:r>
        <w:rPr>
          <w:rFonts w:hint="eastAsia" w:ascii="仿宋_GB2312" w:eastAsia="仿宋_GB2312" w:cs="仿宋_GB2312"/>
          <w:strike w:val="0"/>
          <w:dstrike w:val="0"/>
          <w:kern w:val="0"/>
          <w:sz w:val="32"/>
          <w:szCs w:val="32"/>
          <w:highlight w:val="none"/>
          <w:shd w:val="clear" w:color="auto" w:fill="auto"/>
          <w:lang w:val="en-US" w:eastAsia="zh-CN"/>
        </w:rPr>
        <w:t>16346万元</w:t>
      </w:r>
      <w:r>
        <w:rPr>
          <w:rFonts w:hint="eastAsia" w:ascii="仿宋_GB2312" w:eastAsia="仿宋_GB2312" w:cs="仿宋_GB2312"/>
          <w:strike w:val="0"/>
          <w:kern w:val="0"/>
          <w:sz w:val="32"/>
          <w:szCs w:val="32"/>
          <w:highlight w:val="none"/>
          <w:shd w:val="clear" w:color="auto" w:fill="auto"/>
          <w:lang w:val="en-US" w:eastAsia="zh-CN"/>
        </w:rPr>
        <w:t>，</w:t>
      </w:r>
      <w:r>
        <w:rPr>
          <w:rFonts w:hint="eastAsia" w:ascii="仿宋_GB2312" w:eastAsia="仿宋_GB2312" w:cs="仿宋_GB2312"/>
          <w:kern w:val="0"/>
          <w:sz w:val="32"/>
          <w:szCs w:val="32"/>
          <w:highlight w:val="none"/>
          <w:shd w:val="clear" w:color="auto" w:fill="auto"/>
          <w:lang w:val="en-US" w:eastAsia="zh-CN"/>
        </w:rPr>
        <w:t>比上年增长1058万元。其中预留上解资金13066万元，用</w:t>
      </w:r>
      <w:bookmarkStart w:id="0" w:name="_GoBack"/>
      <w:bookmarkEnd w:id="0"/>
      <w:r>
        <w:rPr>
          <w:rFonts w:hint="eastAsia" w:ascii="仿宋_GB2312" w:eastAsia="仿宋_GB2312" w:cs="仿宋_GB2312"/>
          <w:kern w:val="0"/>
          <w:sz w:val="32"/>
          <w:szCs w:val="32"/>
          <w:highlight w:val="none"/>
          <w:shd w:val="clear" w:color="auto" w:fill="auto"/>
          <w:lang w:val="en-US" w:eastAsia="zh-CN"/>
        </w:rPr>
        <w:t>于支持新疆、西藏、青海、内蒙古、河北等贫困地区；安排扶贫支援资金3280万元，其中林西县1310万元、扎赉特旗1770万元，治多县200万元，</w:t>
      </w:r>
      <w:r>
        <w:rPr>
          <w:rFonts w:hint="eastAsia" w:ascii="仿宋_GB2312" w:eastAsia="仿宋_GB2312" w:cs="仿宋_GB2312"/>
          <w:kern w:val="0"/>
          <w:sz w:val="32"/>
          <w:szCs w:val="32"/>
          <w:lang w:val="en-US" w:eastAsia="zh-CN"/>
        </w:rPr>
        <w:t>主要用于结对帮扶地区脱贫攻坚和乡村振兴衔接过渡期内扶贫支援项目的开展，切实做到保持现有帮扶政策总体稳定，共同持续巩固脱贫成果，实现过渡期平稳衔接。</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文星仿宋">
    <w:altName w:val="微软雅黑"/>
    <w:panose1 w:val="00000000000000000000"/>
    <w:charset w:val="86"/>
    <w:family w:val="auto"/>
    <w:pitch w:val="default"/>
    <w:sig w:usb0="00000000" w:usb1="00000000" w:usb2="0000001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EE53E9"/>
    <w:rsid w:val="039361F4"/>
    <w:rsid w:val="03C83C13"/>
    <w:rsid w:val="05276AA5"/>
    <w:rsid w:val="055C566F"/>
    <w:rsid w:val="05A42FB6"/>
    <w:rsid w:val="05AE6637"/>
    <w:rsid w:val="0622606E"/>
    <w:rsid w:val="06324E98"/>
    <w:rsid w:val="064C2589"/>
    <w:rsid w:val="079F79AD"/>
    <w:rsid w:val="0A0A20D6"/>
    <w:rsid w:val="0BA706CD"/>
    <w:rsid w:val="0BEE53E9"/>
    <w:rsid w:val="0DA462EA"/>
    <w:rsid w:val="0E193041"/>
    <w:rsid w:val="0F8209A3"/>
    <w:rsid w:val="119460C6"/>
    <w:rsid w:val="15AB03A4"/>
    <w:rsid w:val="1BF3137A"/>
    <w:rsid w:val="1D0A04BA"/>
    <w:rsid w:val="1F1F1AB3"/>
    <w:rsid w:val="21483DB8"/>
    <w:rsid w:val="2196544C"/>
    <w:rsid w:val="22AD10DD"/>
    <w:rsid w:val="22DA5807"/>
    <w:rsid w:val="22EF771A"/>
    <w:rsid w:val="23A0020B"/>
    <w:rsid w:val="245E1500"/>
    <w:rsid w:val="24A53225"/>
    <w:rsid w:val="25322EB8"/>
    <w:rsid w:val="263A484B"/>
    <w:rsid w:val="26486F7F"/>
    <w:rsid w:val="265372AB"/>
    <w:rsid w:val="27EF2822"/>
    <w:rsid w:val="29DE6C2B"/>
    <w:rsid w:val="2B32053A"/>
    <w:rsid w:val="2D3A69A1"/>
    <w:rsid w:val="2D721FC2"/>
    <w:rsid w:val="2D9114F6"/>
    <w:rsid w:val="3048112F"/>
    <w:rsid w:val="31276304"/>
    <w:rsid w:val="31877127"/>
    <w:rsid w:val="32522E08"/>
    <w:rsid w:val="345A0E58"/>
    <w:rsid w:val="38A600CD"/>
    <w:rsid w:val="3976125B"/>
    <w:rsid w:val="39B871E5"/>
    <w:rsid w:val="3B69325C"/>
    <w:rsid w:val="3BE614D7"/>
    <w:rsid w:val="3C1C4CB5"/>
    <w:rsid w:val="3CB84BB5"/>
    <w:rsid w:val="3D2415F3"/>
    <w:rsid w:val="3D385A75"/>
    <w:rsid w:val="3D973C10"/>
    <w:rsid w:val="3E5347E3"/>
    <w:rsid w:val="40D73571"/>
    <w:rsid w:val="43F46378"/>
    <w:rsid w:val="448D5105"/>
    <w:rsid w:val="44C034F5"/>
    <w:rsid w:val="45845D98"/>
    <w:rsid w:val="468A604C"/>
    <w:rsid w:val="46D93330"/>
    <w:rsid w:val="47CE40AA"/>
    <w:rsid w:val="48192C54"/>
    <w:rsid w:val="48992469"/>
    <w:rsid w:val="49D52900"/>
    <w:rsid w:val="4AB01EA5"/>
    <w:rsid w:val="4CD93A22"/>
    <w:rsid w:val="4F941871"/>
    <w:rsid w:val="50D232A2"/>
    <w:rsid w:val="51903C80"/>
    <w:rsid w:val="5241476A"/>
    <w:rsid w:val="532379DE"/>
    <w:rsid w:val="53F535E0"/>
    <w:rsid w:val="5505135B"/>
    <w:rsid w:val="55945C91"/>
    <w:rsid w:val="55E428E1"/>
    <w:rsid w:val="57012835"/>
    <w:rsid w:val="5B3A64E7"/>
    <w:rsid w:val="5C01544B"/>
    <w:rsid w:val="5DC84E40"/>
    <w:rsid w:val="5DE64CC6"/>
    <w:rsid w:val="5E222A08"/>
    <w:rsid w:val="5EEA1F3D"/>
    <w:rsid w:val="60230AB1"/>
    <w:rsid w:val="60B9149D"/>
    <w:rsid w:val="622620E9"/>
    <w:rsid w:val="656909FB"/>
    <w:rsid w:val="656E003E"/>
    <w:rsid w:val="66DD4B7E"/>
    <w:rsid w:val="69000E31"/>
    <w:rsid w:val="69A66129"/>
    <w:rsid w:val="6D0A3C68"/>
    <w:rsid w:val="6E3075F1"/>
    <w:rsid w:val="6EF1023F"/>
    <w:rsid w:val="703E542E"/>
    <w:rsid w:val="723B32A1"/>
    <w:rsid w:val="74D236A5"/>
    <w:rsid w:val="75877E81"/>
    <w:rsid w:val="75AB6909"/>
    <w:rsid w:val="76466EE7"/>
    <w:rsid w:val="79EE1A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rPr>
      <w:rFonts w:eastAsia="文星仿宋"/>
      <w:sz w:val="32"/>
    </w:rPr>
  </w:style>
  <w:style w:type="paragraph" w:customStyle="1" w:styleId="3">
    <w:name w:val="目录 11"/>
    <w:next w:val="1"/>
    <w:qFormat/>
    <w:uiPriority w:val="0"/>
    <w:pPr>
      <w:widowControl/>
      <w:wordWrap w:val="0"/>
      <w:jc w:val="both"/>
    </w:pPr>
    <w:rPr>
      <w:rFonts w:ascii="Times New Roman" w:hAnsi="Times New Roman" w:eastAsia="宋体" w:cs="Times New Roman"/>
      <w:kern w:val="0"/>
      <w:sz w:val="21"/>
      <w:szCs w:val="21"/>
      <w:lang w:val="en-US" w:eastAsia="zh-CN" w:bidi="ar-SA"/>
    </w:rPr>
  </w:style>
  <w:style w:type="paragraph" w:styleId="4">
    <w:name w:val="Plain Text"/>
    <w:basedOn w:val="1"/>
    <w:next w:val="1"/>
    <w:qFormat/>
    <w:uiPriority w:val="0"/>
    <w:rPr>
      <w:rFonts w:ascii="宋体" w:hAnsi="Courier New" w:cs="Courier New"/>
      <w:szCs w:val="21"/>
    </w:rPr>
  </w:style>
  <w:style w:type="paragraph" w:styleId="5">
    <w:name w:val="footer"/>
    <w:basedOn w:val="1"/>
    <w:next w:val="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4589</TotalTime>
  <ScaleCrop>false</ScaleCrop>
  <LinksUpToDate>false</LinksUpToDate>
  <CharactersWithSpaces>0</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2021-05-17T08:55:00Z</dcterms:created>
  <dc:creator>user</dc:creator>
  <cp:lastModifiedBy>赵为</cp:lastModifiedBy>
  <cp:lastPrinted>2024-01-22T07:27:00Z</cp:lastPrinted>
  <dcterms:modified xsi:type="dcterms:W3CDTF">2025-01-21T09:30:05Z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