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381"/>
        <w:ind w:left="310" w:right="310"/>
      </w:pPr>
    </w:p>
    <w:p>
      <w:pPr>
        <w:ind w:firstLine="600"/>
      </w:pPr>
    </w:p>
    <w:p>
      <w:pPr>
        <w:ind w:firstLine="600"/>
      </w:pPr>
    </w:p>
    <w:p>
      <w:pPr>
        <w:ind w:firstLine="600"/>
      </w:pPr>
    </w:p>
    <w:p>
      <w:pPr>
        <w:pStyle w:val="3"/>
        <w:spacing w:after="381"/>
        <w:ind w:left="310" w:right="310"/>
        <w:rPr>
          <w:rStyle w:val="107"/>
        </w:rPr>
      </w:pPr>
      <w:bookmarkStart w:id="0" w:name="_Toc219817758"/>
      <w:bookmarkStart w:id="1" w:name="_Toc217988722"/>
      <w:bookmarkStart w:id="2" w:name="OLE_LINK12"/>
      <w:bookmarkStart w:id="3" w:name="OLE_LINK11"/>
      <w:r>
        <w:rPr>
          <w:rStyle w:val="107"/>
          <w:rFonts w:hint="eastAsia"/>
        </w:rPr>
        <w:t>北京市丰台区殡葬设施专项规划</w:t>
      </w:r>
      <w:bookmarkEnd w:id="0"/>
      <w:bookmarkEnd w:id="1"/>
    </w:p>
    <w:p>
      <w:pPr>
        <w:pStyle w:val="3"/>
        <w:spacing w:after="381"/>
        <w:ind w:left="310" w:right="310"/>
        <w:rPr>
          <w:rStyle w:val="107"/>
        </w:rPr>
      </w:pPr>
      <w:bookmarkStart w:id="4" w:name="_Toc217988723"/>
      <w:bookmarkStart w:id="5" w:name="_Toc219817759"/>
      <w:r>
        <w:rPr>
          <w:rStyle w:val="107"/>
          <w:rFonts w:hint="eastAsia"/>
        </w:rPr>
        <w:t>（202</w:t>
      </w:r>
      <w:r>
        <w:rPr>
          <w:rStyle w:val="107"/>
        </w:rPr>
        <w:t>6</w:t>
      </w:r>
      <w:r>
        <w:rPr>
          <w:rStyle w:val="107"/>
          <w:rFonts w:hint="eastAsia"/>
        </w:rPr>
        <w:t>年—2035年）</w:t>
      </w:r>
      <w:bookmarkEnd w:id="4"/>
      <w:bookmarkEnd w:id="5"/>
    </w:p>
    <w:p>
      <w:pPr>
        <w:pStyle w:val="3"/>
        <w:spacing w:after="381"/>
        <w:ind w:left="310" w:right="310"/>
        <w:rPr>
          <w:rStyle w:val="107"/>
        </w:rPr>
      </w:pPr>
    </w:p>
    <w:bookmarkEnd w:id="2"/>
    <w:bookmarkEnd w:id="3"/>
    <w:p>
      <w:pPr>
        <w:ind w:firstLine="600"/>
      </w:pPr>
    </w:p>
    <w:p>
      <w:pPr>
        <w:ind w:firstLine="600"/>
      </w:pPr>
    </w:p>
    <w:p>
      <w:pPr>
        <w:ind w:firstLine="600"/>
      </w:pPr>
    </w:p>
    <w:p>
      <w:pPr>
        <w:ind w:firstLine="600"/>
      </w:pPr>
    </w:p>
    <w:p>
      <w:pPr>
        <w:ind w:firstLine="600"/>
      </w:pPr>
    </w:p>
    <w:p>
      <w:pPr>
        <w:ind w:firstLine="600"/>
      </w:pPr>
    </w:p>
    <w:p>
      <w:pPr>
        <w:ind w:firstLine="600"/>
      </w:pPr>
    </w:p>
    <w:p>
      <w:pPr>
        <w:ind w:firstLine="600"/>
      </w:pPr>
    </w:p>
    <w:p>
      <w:pPr>
        <w:ind w:firstLine="600"/>
      </w:pPr>
    </w:p>
    <w:p>
      <w:pPr>
        <w:ind w:firstLine="600"/>
      </w:pPr>
    </w:p>
    <w:p>
      <w:pPr>
        <w:ind w:firstLine="600"/>
        <w:jc w:val="center"/>
      </w:pPr>
    </w:p>
    <w:p>
      <w:pPr>
        <w:ind w:firstLine="600"/>
        <w:jc w:val="center"/>
      </w:pPr>
      <w:r>
        <w:t>北京市丰台区民政局</w:t>
      </w:r>
    </w:p>
    <w:p>
      <w:pPr>
        <w:ind w:firstLine="600"/>
        <w:jc w:val="center"/>
      </w:pPr>
      <w:r>
        <mc:AlternateContent>
          <mc:Choice Requires="wps">
            <w:drawing>
              <wp:anchor distT="0" distB="0" distL="114300" distR="114300" simplePos="0" relativeHeight="251660288" behindDoc="0" locked="0" layoutInCell="1" allowOverlap="1">
                <wp:simplePos x="0" y="0"/>
                <wp:positionH relativeFrom="column">
                  <wp:posOffset>2477770</wp:posOffset>
                </wp:positionH>
                <wp:positionV relativeFrom="paragraph">
                  <wp:posOffset>661035</wp:posOffset>
                </wp:positionV>
                <wp:extent cx="544195" cy="387985"/>
                <wp:effectExtent l="0" t="0" r="8255" b="12065"/>
                <wp:wrapNone/>
                <wp:docPr id="1" name="矩形 1"/>
                <wp:cNvGraphicFramePr/>
                <a:graphic xmlns:a="http://schemas.openxmlformats.org/drawingml/2006/main">
                  <a:graphicData uri="http://schemas.microsoft.com/office/word/2010/wordprocessingShape">
                    <wps:wsp>
                      <wps:cNvSpPr/>
                      <wps:spPr>
                        <a:xfrm>
                          <a:off x="3620770" y="9431655"/>
                          <a:ext cx="544195" cy="38798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5.1pt;margin-top:52.05pt;height:30.55pt;width:42.85pt;z-index:251660288;v-text-anchor:middle;mso-width-relative:page;mso-height-relative:page;" fillcolor="#FFFFFF [3212]" filled="t" stroked="f" coordsize="21600,21600" o:gfxdata="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WkgxjWAAAACwEAAA8AAAAAAAAAAQAgAAAAIgAAAGRycy9kb3ducmV2LnhtbFBL&#10;AQIUABQAAAAIAIdO4kA8ru/9agIAAL8EAAAOAAAAAAAAAAEAIAAAACUBAABkcnMvZTJvRG9jLnht&#10;bFBLBQYAAAAABgAGAFkBAAABBgAAAAA=&#10;">
                <v:fill on="t" focussize="0,0"/>
                <v:stroke on="f" weight="2pt"/>
                <v:imagedata o:title=""/>
                <o:lock v:ext="edit" aspectratio="f"/>
              </v:rect>
            </w:pict>
          </mc:Fallback>
        </mc:AlternateContent>
      </w:r>
      <w:r>
        <w:t>2026</w:t>
      </w:r>
      <w:r>
        <w:rPr>
          <w:rFonts w:hint="eastAsia"/>
        </w:rPr>
        <w:t>年</w:t>
      </w:r>
      <w:r>
        <w:t>5</w:t>
      </w:r>
      <w:r>
        <w:rPr>
          <w:rFonts w:hint="eastAsia"/>
        </w:rPr>
        <w:t>月</w:t>
      </w:r>
    </w:p>
    <w:p>
      <w:pPr>
        <w:widowControl/>
        <w:tabs>
          <w:tab w:val="left" w:pos="76"/>
          <w:tab w:val="center" w:pos="4422"/>
        </w:tabs>
        <w:wordWrap w:val="0"/>
        <w:adjustRightInd w:val="0"/>
        <w:snapToGrid w:val="0"/>
        <w:spacing w:line="560" w:lineRule="exact"/>
        <w:ind w:firstLine="0" w:firstLineChars="0"/>
        <w:jc w:val="center"/>
        <w:rPr>
          <w:rFonts w:ascii="方正小标宋简体" w:hAnsi="黑体" w:eastAsia="方正小标宋简体"/>
          <w:sz w:val="44"/>
          <w:szCs w:val="44"/>
        </w:rPr>
      </w:pPr>
      <w:bookmarkStart w:id="6" w:name="_Toc206512467"/>
      <w:bookmarkStart w:id="7" w:name="_Toc206512743"/>
      <w:bookmarkStart w:id="8" w:name="_Toc206512673"/>
      <w:bookmarkStart w:id="9" w:name="OLE_LINK142"/>
      <w:bookmarkStart w:id="10" w:name="OLE_LINK141"/>
      <w:r>
        <w:rPr>
          <w:rFonts w:hint="eastAsia" w:ascii="方正小标宋简体" w:hAnsi="黑体" w:eastAsia="方正小标宋简体"/>
          <w:sz w:val="44"/>
          <w:szCs w:val="44"/>
        </w:rPr>
        <w:t>目  录</w:t>
      </w:r>
      <w:bookmarkEnd w:id="6"/>
      <w:bookmarkEnd w:id="7"/>
      <w:bookmarkEnd w:id="8"/>
    </w:p>
    <w:sdt>
      <w:sdtPr>
        <w:rPr>
          <w:rFonts w:ascii="宋体" w:hAnsi="宋体" w:eastAsia="仿宋"/>
          <w:b w:val="0"/>
          <w:color w:val="auto"/>
          <w:sz w:val="31"/>
          <w:lang w:val="zh-CN"/>
        </w:rPr>
        <w:id w:val="1067542890"/>
        <w:docPartObj>
          <w:docPartGallery w:val="Table of Contents"/>
          <w:docPartUnique/>
        </w:docPartObj>
      </w:sdtPr>
      <w:sdtEndPr>
        <w:rPr>
          <w:rFonts w:ascii="宋体" w:hAnsi="宋体" w:eastAsia="仿宋"/>
          <w:b w:val="0"/>
          <w:color w:val="auto"/>
          <w:sz w:val="31"/>
          <w:lang w:val="zh-CN"/>
        </w:rPr>
      </w:sdtEndPr>
      <w:sdtContent>
        <w:p>
          <w:pPr>
            <w:pStyle w:val="59"/>
            <w:rPr>
              <w:rFonts w:asciiTheme="minorHAnsi" w:hAnsiTheme="minorHAnsi" w:eastAsiaTheme="minorEastAsia" w:cstheme="minorBidi"/>
            </w:rPr>
          </w:pPr>
          <w:r>
            <w:fldChar w:fldCharType="begin"/>
          </w:r>
          <w:r>
            <w:instrText xml:space="preserve"> TOC \o "1-3" \h \z \u </w:instrText>
          </w:r>
          <w:r>
            <w:fldChar w:fldCharType="separate"/>
          </w:r>
          <w:r>
            <w:fldChar w:fldCharType="begin"/>
          </w:r>
          <w:r>
            <w:instrText xml:space="preserve"> HYPERLINK \l "_Toc219817764" </w:instrText>
          </w:r>
          <w:r>
            <w:fldChar w:fldCharType="separate"/>
          </w:r>
          <w:r>
            <w:rPr>
              <w:rStyle w:val="92"/>
            </w:rPr>
            <w:t>总</w:t>
          </w:r>
          <w:r>
            <w:rPr>
              <w:rStyle w:val="92"/>
              <w:rFonts w:hint="eastAsia"/>
            </w:rPr>
            <w:t xml:space="preserve"> </w:t>
          </w:r>
          <w:r>
            <w:rPr>
              <w:rStyle w:val="92"/>
            </w:rPr>
            <w:t xml:space="preserve"> 则</w:t>
          </w:r>
          <w:r>
            <w:tab/>
          </w:r>
          <w:r>
            <w:fldChar w:fldCharType="begin"/>
          </w:r>
          <w:r>
            <w:instrText xml:space="preserve"> PAGEREF _Toc219817764 \h </w:instrText>
          </w:r>
          <w:r>
            <w:fldChar w:fldCharType="separate"/>
          </w:r>
          <w:r>
            <w:t>1</w:t>
          </w:r>
          <w:r>
            <w:fldChar w:fldCharType="end"/>
          </w:r>
          <w:r>
            <w:fldChar w:fldCharType="end"/>
          </w:r>
        </w:p>
        <w:p>
          <w:pPr>
            <w:pStyle w:val="59"/>
            <w:rPr>
              <w:rFonts w:cstheme="minorBidi"/>
            </w:rPr>
          </w:pPr>
          <w:r>
            <w:fldChar w:fldCharType="begin"/>
          </w:r>
          <w:r>
            <w:instrText xml:space="preserve"> HYPERLINK \l "_Toc219817772" </w:instrText>
          </w:r>
          <w:r>
            <w:fldChar w:fldCharType="separate"/>
          </w:r>
          <w:r>
            <w:rPr>
              <w:rStyle w:val="92"/>
            </w:rPr>
            <w:t>第一章 现状</w:t>
          </w:r>
          <w:r>
            <w:rPr>
              <w:rStyle w:val="92"/>
              <w:rFonts w:hint="eastAsia"/>
            </w:rPr>
            <w:t>评价</w:t>
          </w:r>
          <w:r>
            <w:tab/>
          </w:r>
          <w:r>
            <w:fldChar w:fldCharType="begin"/>
          </w:r>
          <w:r>
            <w:instrText xml:space="preserve"> PAGEREF _Toc219817772 \h </w:instrText>
          </w:r>
          <w:r>
            <w:fldChar w:fldCharType="separate"/>
          </w:r>
          <w:r>
            <w:t>5</w:t>
          </w:r>
          <w:r>
            <w:fldChar w:fldCharType="end"/>
          </w:r>
          <w:r>
            <w:fldChar w:fldCharType="end"/>
          </w:r>
        </w:p>
        <w:p>
          <w:pPr>
            <w:pStyle w:val="74"/>
            <w:spacing w:line="520" w:lineRule="exact"/>
            <w:rPr>
              <w:rFonts w:ascii="仿宋_GB2312" w:eastAsia="仿宋_GB2312" w:hAnsiTheme="minorHAnsi" w:cstheme="minorBidi"/>
              <w:sz w:val="28"/>
              <w:szCs w:val="28"/>
            </w:rPr>
          </w:pPr>
          <w:r>
            <w:fldChar w:fldCharType="begin"/>
          </w:r>
          <w:r>
            <w:instrText xml:space="preserve"> HYPERLINK \l "_Toc219817773" </w:instrText>
          </w:r>
          <w:r>
            <w:fldChar w:fldCharType="separate"/>
          </w:r>
          <w:r>
            <w:rPr>
              <w:rStyle w:val="92"/>
              <w:rFonts w:hint="eastAsia" w:ascii="仿宋_GB2312" w:eastAsia="仿宋_GB2312"/>
              <w:sz w:val="28"/>
              <w:szCs w:val="28"/>
            </w:rPr>
            <w:t>第一节 殡葬设施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_Toc219817773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74"/>
            <w:spacing w:line="520" w:lineRule="exact"/>
            <w:rPr>
              <w:rFonts w:ascii="仿宋_GB2312" w:eastAsia="仿宋_GB2312"/>
              <w:sz w:val="28"/>
              <w:szCs w:val="28"/>
            </w:rPr>
          </w:pPr>
          <w:r>
            <w:fldChar w:fldCharType="begin"/>
          </w:r>
          <w:r>
            <w:instrText xml:space="preserve"> HYPERLINK \l "_Toc219817773" </w:instrText>
          </w:r>
          <w:r>
            <w:fldChar w:fldCharType="separate"/>
          </w:r>
          <w:r>
            <w:rPr>
              <w:rStyle w:val="92"/>
              <w:rFonts w:hint="eastAsia" w:ascii="仿宋_GB2312" w:eastAsia="仿宋_GB2312"/>
              <w:sz w:val="28"/>
              <w:szCs w:val="28"/>
            </w:rPr>
            <w:t>第二节 集中埋葬点</w:t>
          </w:r>
          <w:r>
            <w:rPr>
              <w:rFonts w:hint="eastAsia" w:ascii="仿宋_GB2312" w:eastAsia="仿宋_GB2312"/>
              <w:sz w:val="28"/>
              <w:szCs w:val="28"/>
            </w:rPr>
            <w:tab/>
          </w:r>
          <w:r>
            <w:rPr>
              <w:rFonts w:ascii="仿宋_GB2312" w:eastAsia="仿宋_GB2312"/>
              <w:sz w:val="28"/>
              <w:szCs w:val="28"/>
            </w:rPr>
            <w:t>5</w:t>
          </w:r>
          <w:r>
            <w:rPr>
              <w:rFonts w:ascii="仿宋_GB2312" w:eastAsia="仿宋_GB2312"/>
              <w:sz w:val="28"/>
              <w:szCs w:val="28"/>
            </w:rPr>
            <w:fldChar w:fldCharType="end"/>
          </w:r>
        </w:p>
        <w:p>
          <w:pPr>
            <w:pStyle w:val="74"/>
            <w:spacing w:line="520" w:lineRule="exact"/>
          </w:pPr>
          <w:r>
            <w:fldChar w:fldCharType="begin"/>
          </w:r>
          <w:r>
            <w:instrText xml:space="preserve"> HYPERLINK \l "_Toc219817773" </w:instrText>
          </w:r>
          <w:r>
            <w:fldChar w:fldCharType="separate"/>
          </w:r>
          <w:r>
            <w:rPr>
              <w:rStyle w:val="92"/>
              <w:rFonts w:hint="eastAsia" w:ascii="仿宋_GB2312" w:eastAsia="仿宋_GB2312"/>
              <w:sz w:val="28"/>
              <w:szCs w:val="28"/>
            </w:rPr>
            <w:t>第三节 散坟</w:t>
          </w:r>
          <w:r>
            <w:rPr>
              <w:rFonts w:hint="eastAsia" w:ascii="仿宋_GB2312" w:eastAsia="仿宋_GB2312"/>
              <w:sz w:val="28"/>
              <w:szCs w:val="28"/>
            </w:rPr>
            <w:tab/>
          </w:r>
          <w:r>
            <w:rPr>
              <w:rFonts w:ascii="仿宋_GB2312" w:eastAsia="仿宋_GB2312"/>
              <w:sz w:val="28"/>
              <w:szCs w:val="28"/>
            </w:rPr>
            <w:t>6</w:t>
          </w:r>
          <w:r>
            <w:rPr>
              <w:rFonts w:ascii="仿宋_GB2312" w:eastAsia="仿宋_GB2312"/>
              <w:sz w:val="28"/>
              <w:szCs w:val="28"/>
            </w:rPr>
            <w:fldChar w:fldCharType="end"/>
          </w:r>
        </w:p>
        <w:p>
          <w:pPr>
            <w:pStyle w:val="74"/>
            <w:spacing w:line="520" w:lineRule="exact"/>
            <w:rPr>
              <w:rFonts w:ascii="仿宋_GB2312" w:eastAsia="仿宋_GB2312" w:hAnsiTheme="minorHAnsi" w:cstheme="minorBidi"/>
              <w:sz w:val="28"/>
              <w:szCs w:val="28"/>
            </w:rPr>
          </w:pPr>
          <w:r>
            <w:fldChar w:fldCharType="begin"/>
          </w:r>
          <w:r>
            <w:instrText xml:space="preserve"> HYPERLINK \l "_Toc219817776" </w:instrText>
          </w:r>
          <w:r>
            <w:fldChar w:fldCharType="separate"/>
          </w:r>
          <w:r>
            <w:rPr>
              <w:rStyle w:val="92"/>
              <w:rFonts w:hint="eastAsia" w:ascii="仿宋_GB2312" w:eastAsia="仿宋_GB2312"/>
              <w:sz w:val="28"/>
              <w:szCs w:val="28"/>
            </w:rPr>
            <w:t>第四节 现状评价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_Toc219817776 \h </w:instrText>
          </w:r>
          <w:r>
            <w:rPr>
              <w:rFonts w:hint="eastAsia" w:ascii="仿宋_GB2312" w:eastAsia="仿宋_GB2312"/>
              <w:sz w:val="28"/>
              <w:szCs w:val="28"/>
            </w:rPr>
            <w:fldChar w:fldCharType="separate"/>
          </w:r>
          <w:r>
            <w:rPr>
              <w:rFonts w:hint="eastAsia" w:ascii="仿宋_GB2312" w:eastAsia="仿宋_GB2312"/>
              <w:sz w:val="28"/>
              <w:szCs w:val="28"/>
            </w:rPr>
            <w:t>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59"/>
            <w:rPr>
              <w:rFonts w:cstheme="minorBidi"/>
            </w:rPr>
          </w:pPr>
          <w:r>
            <w:fldChar w:fldCharType="begin"/>
          </w:r>
          <w:r>
            <w:instrText xml:space="preserve"> HYPERLINK \l "_Toc219817779" </w:instrText>
          </w:r>
          <w:r>
            <w:fldChar w:fldCharType="separate"/>
          </w:r>
          <w:r>
            <w:rPr>
              <w:rStyle w:val="92"/>
            </w:rPr>
            <w:t xml:space="preserve">第二章 </w:t>
          </w:r>
          <w:r>
            <w:rPr>
              <w:rStyle w:val="92"/>
              <w:rFonts w:hint="eastAsia"/>
            </w:rPr>
            <w:t>规划</w:t>
          </w:r>
          <w:r>
            <w:rPr>
              <w:rStyle w:val="92"/>
            </w:rPr>
            <w:t>要求</w:t>
          </w:r>
          <w:r>
            <w:tab/>
          </w:r>
          <w:r>
            <w:fldChar w:fldCharType="begin"/>
          </w:r>
          <w:r>
            <w:instrText xml:space="preserve"> PAGEREF _Toc219817779 \h </w:instrText>
          </w:r>
          <w:r>
            <w:fldChar w:fldCharType="separate"/>
          </w:r>
          <w:r>
            <w:t>8</w:t>
          </w:r>
          <w:r>
            <w:fldChar w:fldCharType="end"/>
          </w:r>
          <w:r>
            <w:fldChar w:fldCharType="end"/>
          </w:r>
        </w:p>
        <w:p>
          <w:pPr>
            <w:pStyle w:val="59"/>
            <w:rPr>
              <w:rFonts w:cstheme="minorBidi"/>
            </w:rPr>
          </w:pPr>
          <w:r>
            <w:fldChar w:fldCharType="begin"/>
          </w:r>
          <w:r>
            <w:instrText xml:space="preserve"> HYPERLINK \l "_Toc219817783" </w:instrText>
          </w:r>
          <w:r>
            <w:fldChar w:fldCharType="separate"/>
          </w:r>
          <w:r>
            <w:rPr>
              <w:rStyle w:val="92"/>
            </w:rPr>
            <w:t>第三章 规划目标</w:t>
          </w:r>
          <w:r>
            <w:tab/>
          </w:r>
          <w:r>
            <w:fldChar w:fldCharType="begin"/>
          </w:r>
          <w:r>
            <w:instrText xml:space="preserve"> PAGEREF _Toc219817783 \h </w:instrText>
          </w:r>
          <w:r>
            <w:fldChar w:fldCharType="separate"/>
          </w:r>
          <w:r>
            <w:t>10</w:t>
          </w:r>
          <w:r>
            <w:fldChar w:fldCharType="end"/>
          </w:r>
          <w:r>
            <w:fldChar w:fldCharType="end"/>
          </w:r>
        </w:p>
        <w:p>
          <w:pPr>
            <w:pStyle w:val="59"/>
            <w:rPr>
              <w:rFonts w:cstheme="minorBidi"/>
            </w:rPr>
          </w:pPr>
          <w:r>
            <w:fldChar w:fldCharType="begin"/>
          </w:r>
          <w:r>
            <w:instrText xml:space="preserve"> HYPERLINK \l "_Toc219817787" </w:instrText>
          </w:r>
          <w:r>
            <w:fldChar w:fldCharType="separate"/>
          </w:r>
          <w:r>
            <w:rPr>
              <w:rStyle w:val="92"/>
            </w:rPr>
            <w:t>第四章 规划策略</w:t>
          </w:r>
          <w:r>
            <w:tab/>
          </w:r>
          <w:r>
            <w:fldChar w:fldCharType="begin"/>
          </w:r>
          <w:r>
            <w:instrText xml:space="preserve"> PAGEREF _Toc219817787 \h </w:instrText>
          </w:r>
          <w:r>
            <w:fldChar w:fldCharType="separate"/>
          </w:r>
          <w:r>
            <w:t>14</w:t>
          </w:r>
          <w:r>
            <w:fldChar w:fldCharType="end"/>
          </w:r>
          <w:r>
            <w:fldChar w:fldCharType="end"/>
          </w:r>
        </w:p>
        <w:p>
          <w:pPr>
            <w:pStyle w:val="74"/>
            <w:spacing w:line="520" w:lineRule="exact"/>
            <w:rPr>
              <w:rFonts w:ascii="仿宋_GB2312" w:eastAsia="仿宋_GB2312" w:hAnsiTheme="minorHAnsi" w:cstheme="minorBidi"/>
              <w:sz w:val="28"/>
              <w:szCs w:val="28"/>
            </w:rPr>
          </w:pPr>
          <w:r>
            <w:fldChar w:fldCharType="begin"/>
          </w:r>
          <w:r>
            <w:instrText xml:space="preserve"> HYPERLINK \l "_Toc219817788" </w:instrText>
          </w:r>
          <w:r>
            <w:fldChar w:fldCharType="separate"/>
          </w:r>
          <w:r>
            <w:rPr>
              <w:rStyle w:val="92"/>
              <w:rFonts w:hint="eastAsia" w:ascii="仿宋_GB2312" w:eastAsia="仿宋_GB2312"/>
              <w:sz w:val="28"/>
              <w:szCs w:val="28"/>
            </w:rPr>
            <w:t>第一节 框定规模总量，规范土地利用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_Toc219817788 \h </w:instrText>
          </w:r>
          <w:r>
            <w:rPr>
              <w:rFonts w:hint="eastAsia" w:ascii="仿宋_GB2312" w:eastAsia="仿宋_GB2312"/>
              <w:sz w:val="28"/>
              <w:szCs w:val="28"/>
            </w:rPr>
            <w:fldChar w:fldCharType="separate"/>
          </w:r>
          <w:r>
            <w:rPr>
              <w:rFonts w:hint="eastAsia" w:ascii="仿宋_GB2312" w:eastAsia="仿宋_GB2312"/>
              <w:sz w:val="28"/>
              <w:szCs w:val="28"/>
            </w:rPr>
            <w:t>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74"/>
            <w:spacing w:line="520" w:lineRule="exact"/>
            <w:rPr>
              <w:rFonts w:ascii="仿宋_GB2312" w:eastAsia="仿宋_GB2312" w:hAnsiTheme="minorHAnsi" w:cstheme="minorBidi"/>
              <w:sz w:val="28"/>
              <w:szCs w:val="28"/>
            </w:rPr>
          </w:pPr>
          <w:r>
            <w:fldChar w:fldCharType="begin"/>
          </w:r>
          <w:r>
            <w:instrText xml:space="preserve"> HYPERLINK \l "_Toc219817792" </w:instrText>
          </w:r>
          <w:r>
            <w:fldChar w:fldCharType="separate"/>
          </w:r>
          <w:r>
            <w:rPr>
              <w:rStyle w:val="92"/>
              <w:rFonts w:hint="eastAsia" w:ascii="仿宋_GB2312" w:eastAsia="仿宋_GB2312"/>
              <w:sz w:val="28"/>
              <w:szCs w:val="28"/>
            </w:rPr>
            <w:t>第二节 关注重点问题，完善服务体系</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_Toc219817792 \h </w:instrText>
          </w:r>
          <w:r>
            <w:rPr>
              <w:rFonts w:hint="eastAsia" w:ascii="仿宋_GB2312" w:eastAsia="仿宋_GB2312"/>
              <w:sz w:val="28"/>
              <w:szCs w:val="28"/>
            </w:rPr>
            <w:fldChar w:fldCharType="separate"/>
          </w:r>
          <w:r>
            <w:rPr>
              <w:rFonts w:hint="eastAsia" w:ascii="仿宋_GB2312" w:eastAsia="仿宋_GB2312"/>
              <w:sz w:val="28"/>
              <w:szCs w:val="28"/>
            </w:rPr>
            <w:t>16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59"/>
            <w:rPr>
              <w:rFonts w:asciiTheme="minorHAnsi" w:hAnsiTheme="minorHAnsi" w:eastAsiaTheme="minorEastAsia" w:cstheme="minorBidi"/>
            </w:rPr>
          </w:pPr>
          <w:r>
            <w:fldChar w:fldCharType="begin"/>
          </w:r>
          <w:r>
            <w:instrText xml:space="preserve"> HYPERLINK \l "_Toc219817795" </w:instrText>
          </w:r>
          <w:r>
            <w:fldChar w:fldCharType="separate"/>
          </w:r>
          <w:r>
            <w:rPr>
              <w:rStyle w:val="92"/>
            </w:rPr>
            <w:t>第五章 分类布局</w:t>
          </w:r>
          <w:r>
            <w:tab/>
          </w:r>
          <w:r>
            <w:fldChar w:fldCharType="begin"/>
          </w:r>
          <w:r>
            <w:instrText xml:space="preserve"> PAGEREF _Toc219817795 \h </w:instrText>
          </w:r>
          <w:r>
            <w:fldChar w:fldCharType="separate"/>
          </w:r>
          <w:r>
            <w:t>17</w:t>
          </w:r>
          <w:r>
            <w:fldChar w:fldCharType="end"/>
          </w:r>
          <w:r>
            <w:fldChar w:fldCharType="end"/>
          </w:r>
        </w:p>
        <w:p>
          <w:pPr>
            <w:pStyle w:val="74"/>
            <w:spacing w:line="520" w:lineRule="exact"/>
            <w:rPr>
              <w:rFonts w:ascii="仿宋_GB2312" w:eastAsia="仿宋_GB2312" w:hAnsiTheme="minorHAnsi" w:cstheme="minorBidi"/>
              <w:sz w:val="28"/>
              <w:szCs w:val="28"/>
            </w:rPr>
          </w:pPr>
          <w:r>
            <w:fldChar w:fldCharType="begin"/>
          </w:r>
          <w:r>
            <w:instrText xml:space="preserve"> HYPERLINK \l "_Toc219817796" </w:instrText>
          </w:r>
          <w:r>
            <w:fldChar w:fldCharType="separate"/>
          </w:r>
          <w:r>
            <w:rPr>
              <w:rStyle w:val="92"/>
              <w:rFonts w:hint="eastAsia" w:ascii="仿宋_GB2312" w:eastAsia="仿宋_GB2312"/>
              <w:sz w:val="28"/>
              <w:szCs w:val="28"/>
            </w:rPr>
            <w:t>第一节 合理预测公益性殡葬设施需求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_Toc219817796 \h </w:instrText>
          </w:r>
          <w:r>
            <w:rPr>
              <w:rFonts w:hint="eastAsia" w:ascii="仿宋_GB2312" w:eastAsia="仿宋_GB2312"/>
              <w:sz w:val="28"/>
              <w:szCs w:val="28"/>
            </w:rPr>
            <w:fldChar w:fldCharType="separate"/>
          </w:r>
          <w:r>
            <w:rPr>
              <w:rFonts w:hint="eastAsia" w:ascii="仿宋_GB2312" w:eastAsia="仿宋_GB2312"/>
              <w:sz w:val="28"/>
              <w:szCs w:val="28"/>
            </w:rPr>
            <w:t>17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74"/>
            <w:spacing w:line="520" w:lineRule="exact"/>
            <w:rPr>
              <w:rFonts w:ascii="仿宋_GB2312" w:eastAsia="仿宋_GB2312" w:hAnsiTheme="minorHAnsi" w:cstheme="minorBidi"/>
              <w:sz w:val="28"/>
              <w:szCs w:val="28"/>
            </w:rPr>
          </w:pPr>
          <w:r>
            <w:fldChar w:fldCharType="begin"/>
          </w:r>
          <w:r>
            <w:instrText xml:space="preserve"> HYPERLINK \l "_Toc219817799" </w:instrText>
          </w:r>
          <w:r>
            <w:fldChar w:fldCharType="separate"/>
          </w:r>
          <w:r>
            <w:rPr>
              <w:rStyle w:val="92"/>
              <w:rFonts w:hint="eastAsia" w:ascii="仿宋_GB2312" w:eastAsia="仿宋_GB2312"/>
              <w:sz w:val="28"/>
              <w:szCs w:val="28"/>
            </w:rPr>
            <w:t>第二节 系统构建公益性公墓服务体系</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_Toc219817799 \h </w:instrText>
          </w:r>
          <w:r>
            <w:rPr>
              <w:rFonts w:hint="eastAsia" w:ascii="仿宋_GB2312" w:eastAsia="仿宋_GB2312"/>
              <w:sz w:val="28"/>
              <w:szCs w:val="28"/>
            </w:rPr>
            <w:fldChar w:fldCharType="separate"/>
          </w:r>
          <w:r>
            <w:rPr>
              <w:rFonts w:hint="eastAsia" w:ascii="仿宋_GB2312" w:eastAsia="仿宋_GB2312"/>
              <w:sz w:val="28"/>
              <w:szCs w:val="28"/>
            </w:rPr>
            <w:t>17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74"/>
            <w:spacing w:line="520" w:lineRule="exact"/>
            <w:rPr>
              <w:rFonts w:ascii="仿宋_GB2312" w:eastAsia="仿宋_GB2312" w:hAnsiTheme="minorHAnsi" w:cstheme="minorBidi"/>
              <w:sz w:val="28"/>
              <w:szCs w:val="28"/>
            </w:rPr>
          </w:pPr>
          <w:r>
            <w:fldChar w:fldCharType="begin"/>
          </w:r>
          <w:r>
            <w:instrText xml:space="preserve"> HYPERLINK \l "_Toc219817803" </w:instrText>
          </w:r>
          <w:r>
            <w:fldChar w:fldCharType="separate"/>
          </w:r>
          <w:r>
            <w:rPr>
              <w:rStyle w:val="92"/>
              <w:rFonts w:hint="eastAsia" w:ascii="仿宋_GB2312" w:eastAsia="仿宋_GB2312"/>
              <w:sz w:val="28"/>
              <w:szCs w:val="28"/>
            </w:rPr>
            <w:t>第三节 有序推进集中埋葬点规范治理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_Toc219817803 \h </w:instrText>
          </w:r>
          <w:r>
            <w:rPr>
              <w:rFonts w:hint="eastAsia" w:ascii="仿宋_GB2312" w:eastAsia="仿宋_GB2312"/>
              <w:sz w:val="28"/>
              <w:szCs w:val="28"/>
            </w:rPr>
            <w:fldChar w:fldCharType="separate"/>
          </w:r>
          <w:r>
            <w:rPr>
              <w:rFonts w:hint="eastAsia" w:ascii="仿宋_GB2312" w:eastAsia="仿宋_GB2312"/>
              <w:sz w:val="28"/>
              <w:szCs w:val="28"/>
            </w:rPr>
            <w:t>18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74"/>
            <w:spacing w:line="520" w:lineRule="exact"/>
            <w:rPr>
              <w:rFonts w:ascii="仿宋_GB2312" w:eastAsia="仿宋_GB2312" w:hAnsiTheme="minorHAnsi" w:cstheme="minorBidi"/>
              <w:sz w:val="28"/>
              <w:szCs w:val="28"/>
            </w:rPr>
          </w:pPr>
          <w:r>
            <w:fldChar w:fldCharType="begin"/>
          </w:r>
          <w:r>
            <w:instrText xml:space="preserve"> HYPERLINK \l "_Toc219817806" </w:instrText>
          </w:r>
          <w:r>
            <w:fldChar w:fldCharType="separate"/>
          </w:r>
          <w:r>
            <w:rPr>
              <w:rStyle w:val="92"/>
              <w:rFonts w:hint="eastAsia" w:ascii="仿宋_GB2312" w:eastAsia="仿宋_GB2312"/>
              <w:sz w:val="28"/>
              <w:szCs w:val="28"/>
            </w:rPr>
            <w:t>第四节 全力推广节地生态的安葬模式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_Toc219817806 \h </w:instrText>
          </w:r>
          <w:r>
            <w:rPr>
              <w:rFonts w:hint="eastAsia" w:ascii="仿宋_GB2312" w:eastAsia="仿宋_GB2312"/>
              <w:sz w:val="28"/>
              <w:szCs w:val="28"/>
            </w:rPr>
            <w:fldChar w:fldCharType="separate"/>
          </w:r>
          <w:r>
            <w:rPr>
              <w:rFonts w:hint="eastAsia" w:ascii="仿宋_GB2312" w:eastAsia="仿宋_GB2312"/>
              <w:sz w:val="28"/>
              <w:szCs w:val="28"/>
            </w:rPr>
            <w:t>18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59"/>
            <w:rPr>
              <w:rFonts w:asciiTheme="minorHAnsi" w:hAnsiTheme="minorHAnsi" w:eastAsiaTheme="minorEastAsia" w:cstheme="minorBidi"/>
            </w:rPr>
          </w:pPr>
          <w:r>
            <w:fldChar w:fldCharType="begin"/>
          </w:r>
          <w:r>
            <w:instrText xml:space="preserve"> HYPERLINK \l "_Toc219817809" </w:instrText>
          </w:r>
          <w:r>
            <w:fldChar w:fldCharType="separate"/>
          </w:r>
          <w:r>
            <w:rPr>
              <w:rStyle w:val="92"/>
            </w:rPr>
            <w:t>第六章 实施保障</w:t>
          </w:r>
          <w:r>
            <w:tab/>
          </w:r>
          <w:r>
            <w:fldChar w:fldCharType="begin"/>
          </w:r>
          <w:r>
            <w:instrText xml:space="preserve"> PAGEREF _Toc219817809 \h </w:instrText>
          </w:r>
          <w:r>
            <w:fldChar w:fldCharType="separate"/>
          </w:r>
          <w:r>
            <w:t>20</w:t>
          </w:r>
          <w:r>
            <w:fldChar w:fldCharType="end"/>
          </w:r>
          <w:r>
            <w:fldChar w:fldCharType="end"/>
          </w:r>
        </w:p>
        <w:p>
          <w:pPr>
            <w:pStyle w:val="74"/>
            <w:spacing w:line="520" w:lineRule="exact"/>
            <w:rPr>
              <w:rFonts w:ascii="仿宋_GB2312" w:eastAsia="仿宋_GB2312" w:hAnsiTheme="minorHAnsi" w:cstheme="minorBidi"/>
              <w:sz w:val="28"/>
              <w:szCs w:val="28"/>
            </w:rPr>
          </w:pPr>
          <w:r>
            <w:fldChar w:fldCharType="begin"/>
          </w:r>
          <w:r>
            <w:instrText xml:space="preserve"> HYPERLINK \l "_Toc219817810" </w:instrText>
          </w:r>
          <w:r>
            <w:fldChar w:fldCharType="separate"/>
          </w:r>
          <w:r>
            <w:rPr>
              <w:rStyle w:val="92"/>
              <w:rFonts w:hint="eastAsia" w:ascii="仿宋_GB2312" w:eastAsia="仿宋_GB2312"/>
              <w:sz w:val="28"/>
              <w:szCs w:val="28"/>
            </w:rPr>
            <w:t>第一节 加强规划引导</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_Toc219817810 \h </w:instrText>
          </w:r>
          <w:r>
            <w:rPr>
              <w:rFonts w:hint="eastAsia" w:ascii="仿宋_GB2312" w:eastAsia="仿宋_GB2312"/>
              <w:sz w:val="28"/>
              <w:szCs w:val="28"/>
            </w:rPr>
            <w:fldChar w:fldCharType="separate"/>
          </w:r>
          <w:r>
            <w:rPr>
              <w:rFonts w:hint="eastAsia" w:ascii="仿宋_GB2312" w:eastAsia="仿宋_GB2312"/>
              <w:sz w:val="28"/>
              <w:szCs w:val="28"/>
            </w:rPr>
            <w:t>20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74"/>
            <w:spacing w:line="520" w:lineRule="exact"/>
            <w:rPr>
              <w:rFonts w:ascii="仿宋_GB2312" w:eastAsia="仿宋_GB2312" w:hAnsiTheme="minorHAnsi" w:cstheme="minorBidi"/>
              <w:sz w:val="28"/>
              <w:szCs w:val="28"/>
            </w:rPr>
          </w:pPr>
          <w:r>
            <w:fldChar w:fldCharType="begin"/>
          </w:r>
          <w:r>
            <w:instrText xml:space="preserve"> HYPERLINK \l "_Toc219817812" </w:instrText>
          </w:r>
          <w:r>
            <w:fldChar w:fldCharType="separate"/>
          </w:r>
          <w:r>
            <w:rPr>
              <w:rStyle w:val="92"/>
              <w:rFonts w:hint="eastAsia" w:ascii="仿宋_GB2312" w:eastAsia="仿宋_GB2312"/>
              <w:sz w:val="28"/>
              <w:szCs w:val="28"/>
            </w:rPr>
            <w:t>第二节 完善政策机制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_Toc219817812 \h </w:instrText>
          </w:r>
          <w:r>
            <w:rPr>
              <w:rFonts w:hint="eastAsia" w:ascii="仿宋_GB2312" w:eastAsia="仿宋_GB2312"/>
              <w:sz w:val="28"/>
              <w:szCs w:val="28"/>
            </w:rPr>
            <w:fldChar w:fldCharType="separate"/>
          </w:r>
          <w:r>
            <w:rPr>
              <w:rFonts w:hint="eastAsia" w:ascii="仿宋_GB2312" w:eastAsia="仿宋_GB2312"/>
              <w:sz w:val="28"/>
              <w:szCs w:val="28"/>
            </w:rPr>
            <w:t>21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74"/>
            <w:spacing w:line="520" w:lineRule="exact"/>
            <w:rPr>
              <w:rStyle w:val="92"/>
              <w:rFonts w:ascii="仿宋_GB2312" w:eastAsia="仿宋_GB2312"/>
              <w:sz w:val="28"/>
              <w:szCs w:val="28"/>
            </w:rPr>
          </w:pPr>
          <w:r>
            <w:fldChar w:fldCharType="begin"/>
          </w:r>
          <w:r>
            <w:instrText xml:space="preserve"> HYPERLINK \l "_Toc219817816" </w:instrText>
          </w:r>
          <w:r>
            <w:fldChar w:fldCharType="separate"/>
          </w:r>
          <w:r>
            <w:rPr>
              <w:rStyle w:val="92"/>
              <w:rFonts w:hint="eastAsia" w:ascii="仿宋_GB2312" w:eastAsia="仿宋_GB2312"/>
              <w:sz w:val="28"/>
              <w:szCs w:val="28"/>
            </w:rPr>
            <w:t>第三节 推动绿色殡葬</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_Toc219817816 \h </w:instrText>
          </w:r>
          <w:r>
            <w:rPr>
              <w:rFonts w:hint="eastAsia" w:ascii="仿宋_GB2312" w:eastAsia="仿宋_GB2312"/>
              <w:sz w:val="28"/>
              <w:szCs w:val="28"/>
            </w:rPr>
            <w:fldChar w:fldCharType="separate"/>
          </w:r>
          <w:r>
            <w:rPr>
              <w:rFonts w:hint="eastAsia" w:ascii="仿宋_GB2312" w:eastAsia="仿宋_GB2312"/>
              <w:sz w:val="28"/>
              <w:szCs w:val="28"/>
            </w:rPr>
            <w:t>22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74"/>
            <w:spacing w:line="520" w:lineRule="exact"/>
            <w:rPr>
              <w:rStyle w:val="92"/>
              <w:rFonts w:ascii="仿宋_GB2312" w:eastAsia="仿宋_GB2312"/>
              <w:sz w:val="28"/>
              <w:szCs w:val="28"/>
            </w:rPr>
          </w:pPr>
          <w:r>
            <w:fldChar w:fldCharType="begin"/>
          </w:r>
          <w:r>
            <w:instrText xml:space="preserve"> HYPERLINK \l "_Toc219817816" </w:instrText>
          </w:r>
          <w:r>
            <w:fldChar w:fldCharType="separate"/>
          </w:r>
          <w:r>
            <w:rPr>
              <w:rStyle w:val="92"/>
              <w:rFonts w:hint="eastAsia" w:ascii="仿宋_GB2312" w:eastAsia="仿宋_GB2312"/>
              <w:sz w:val="28"/>
              <w:szCs w:val="28"/>
            </w:rPr>
            <w:t>第四节 推进智慧殡葬</w:t>
          </w:r>
          <w:r>
            <w:rPr>
              <w:rFonts w:hint="eastAsia" w:ascii="仿宋_GB2312" w:eastAsia="仿宋_GB2312"/>
              <w:sz w:val="28"/>
              <w:szCs w:val="28"/>
            </w:rPr>
            <w:tab/>
          </w:r>
          <w:r>
            <w:rPr>
              <w:rFonts w:ascii="仿宋_GB2312" w:eastAsia="仿宋_GB2312"/>
              <w:sz w:val="28"/>
              <w:szCs w:val="28"/>
            </w:rPr>
            <w:t>23</w:t>
          </w:r>
          <w:r>
            <w:rPr>
              <w:rFonts w:ascii="仿宋_GB2312" w:eastAsia="仿宋_GB2312"/>
              <w:sz w:val="28"/>
              <w:szCs w:val="28"/>
            </w:rPr>
            <w:fldChar w:fldCharType="end"/>
          </w:r>
        </w:p>
        <w:p>
          <w:pPr>
            <w:pStyle w:val="59"/>
            <w:rPr>
              <w:rFonts w:asciiTheme="minorHAnsi" w:hAnsiTheme="minorHAnsi" w:eastAsiaTheme="minorEastAsia" w:cstheme="minorBidi"/>
            </w:rPr>
          </w:pPr>
          <w:r>
            <w:rPr>
              <w:lang w:val="zh-CN"/>
            </w:rPr>
            <w:fldChar w:fldCharType="end"/>
          </w:r>
          <w:r>
            <w:rPr>
              <w:rFonts w:asciiTheme="minorHAnsi" w:hAnsiTheme="minorHAnsi" w:eastAsiaTheme="minorEastAsia" w:cstheme="minorBidi"/>
            </w:rPr>
            <w:t xml:space="preserve"> </w:t>
          </w:r>
        </w:p>
        <w:bookmarkEnd w:id="9"/>
        <w:bookmarkEnd w:id="10"/>
        <w:p>
          <w:pPr>
            <w:spacing w:line="560" w:lineRule="exact"/>
            <w:ind w:firstLine="0" w:firstLineChars="0"/>
            <w:rPr>
              <w:lang w:bidi="ar"/>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81" w:charSpace="0"/>
            </w:sectPr>
          </w:pPr>
          <w:r>
            <w:rPr>
              <w:sz w:val="31"/>
            </w:rPr>
            <mc:AlternateContent>
              <mc:Choice Requires="wps">
                <w:drawing>
                  <wp:anchor distT="0" distB="0" distL="114300" distR="114300" simplePos="0" relativeHeight="251661312" behindDoc="0" locked="0" layoutInCell="1" allowOverlap="1">
                    <wp:simplePos x="0" y="0"/>
                    <wp:positionH relativeFrom="column">
                      <wp:posOffset>2362835</wp:posOffset>
                    </wp:positionH>
                    <wp:positionV relativeFrom="paragraph">
                      <wp:posOffset>8482965</wp:posOffset>
                    </wp:positionV>
                    <wp:extent cx="1047750" cy="836295"/>
                    <wp:effectExtent l="0" t="0" r="0" b="1905"/>
                    <wp:wrapNone/>
                    <wp:docPr id="6" name="矩形 6"/>
                    <wp:cNvGraphicFramePr/>
                    <a:graphic xmlns:a="http://schemas.openxmlformats.org/drawingml/2006/main">
                      <a:graphicData uri="http://schemas.microsoft.com/office/word/2010/wordprocessingShape">
                        <wps:wsp>
                          <wps:cNvSpPr/>
                          <wps:spPr>
                            <a:xfrm>
                              <a:off x="3505835" y="9397365"/>
                              <a:ext cx="1047750" cy="83629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6.05pt;margin-top:667.95pt;height:65.85pt;width:82.5pt;z-index:251661312;v-text-anchor:middle;mso-width-relative:page;mso-height-relative:page;" fillcolor="#FFFFFF [3212]" filled="t" stroked="f" coordsize="21600,21600" o:gfxdata="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dpswPXAAAADQEAAA8AAAAAAAAAAQAgAAAAIgAAAGRycy9kb3ducmV2Lnht&#10;bFBLAQIUABQAAAAIAIdO4kBh+SwzbAIAAMAEAAAOAAAAAAAAAAEAIAAAACYBAABkcnMvZTJvRG9j&#10;LnhtbFBLBQYAAAAABgAGAFkBAAAEBgAAAAA=&#10;">
                    <v:fill on="t" focussize="0,0"/>
                    <v:stroke on="f" weight="2pt"/>
                    <v:imagedata o:title=""/>
                    <o:lock v:ext="edit" aspectratio="f"/>
                  </v:rect>
                </w:pict>
              </mc:Fallback>
            </mc:AlternateContent>
          </w:r>
        </w:p>
      </w:sdtContent>
    </w:sdt>
    <w:p>
      <w:pPr>
        <w:pStyle w:val="3"/>
        <w:spacing w:after="381"/>
        <w:ind w:right="310" w:firstLine="3534" w:firstLineChars="800"/>
        <w:jc w:val="both"/>
      </w:pPr>
      <w:bookmarkStart w:id="11" w:name="_Toc206512674"/>
      <w:bookmarkStart w:id="12" w:name="_Toc219817764"/>
      <w:r>
        <w:rPr>
          <w:rFonts w:hint="eastAsia"/>
        </w:rPr>
        <w:t>总  则</w:t>
      </w:r>
      <w:bookmarkEnd w:id="11"/>
      <w:bookmarkEnd w:id="12"/>
    </w:p>
    <w:p>
      <w:pPr>
        <w:pStyle w:val="5"/>
        <w:ind w:left="310" w:right="300"/>
      </w:pPr>
      <w:bookmarkStart w:id="13" w:name="_Toc219817765"/>
      <w:bookmarkStart w:id="14" w:name="_Toc217988729"/>
      <w:bookmarkStart w:id="15" w:name="_Toc206512675"/>
      <w:r>
        <w:t>编制目的</w:t>
      </w:r>
      <w:bookmarkEnd w:id="13"/>
      <w:bookmarkEnd w:id="14"/>
      <w:bookmarkEnd w:id="15"/>
    </w:p>
    <w:p>
      <w:pPr>
        <w:ind w:firstLine="600"/>
      </w:pPr>
      <w:r>
        <w:rPr>
          <w:rFonts w:hint="eastAsia"/>
        </w:rPr>
        <w:t>为深入落实《北京城市总体规划（</w:t>
      </w:r>
      <w:r>
        <w:t>2016</w:t>
      </w:r>
      <w:r>
        <w:rPr>
          <w:rFonts w:hint="eastAsia"/>
        </w:rPr>
        <w:t>年</w:t>
      </w:r>
      <w:r>
        <w:t>—2035</w:t>
      </w:r>
      <w:r>
        <w:rPr>
          <w:rFonts w:hint="eastAsia"/>
        </w:rPr>
        <w:t>年）》和《丰台分区规划（国土空间规划）（2017年—2035年）》，贯彻国家殡葬管理改革的方针政策，依据《北京市殡葬设施专项规划（2021年—2035年）》刚性和引导要求，细化殡葬设施总体布局，具体指导殡葬设施建设，满足丰台区村（居）民多层次殡葬服务需求，按照区委、区政府统一部署，由北京市丰台区民政局组织编制本规划。</w:t>
      </w:r>
    </w:p>
    <w:p>
      <w:pPr>
        <w:pStyle w:val="5"/>
        <w:ind w:left="310" w:right="300"/>
      </w:pPr>
      <w:bookmarkStart w:id="16" w:name="_Toc217988730"/>
      <w:bookmarkStart w:id="17" w:name="_Toc206512676"/>
      <w:bookmarkStart w:id="18" w:name="_Toc219817766"/>
      <w:r>
        <w:rPr>
          <w:rFonts w:hint="eastAsia"/>
        </w:rPr>
        <w:t>指导思想</w:t>
      </w:r>
      <w:bookmarkEnd w:id="16"/>
      <w:bookmarkEnd w:id="17"/>
      <w:bookmarkEnd w:id="18"/>
    </w:p>
    <w:p>
      <w:pPr>
        <w:ind w:firstLine="600"/>
      </w:pPr>
      <w:r>
        <w:rPr>
          <w:rFonts w:hint="eastAsia"/>
        </w:rPr>
        <w:t>以习近平新时代中国特色社会主义思想为指导，坚持以人民为中心的发展思想，聚焦人民群众殡葬方面急难愁盼问题，坚持政府主导、保障基本、因地制宜、文明生态，加快推进殡葬设施建设，建立覆盖全区村（居）民、布局合理、功能齐全、服务便捷的殡葬服务网络。</w:t>
      </w:r>
    </w:p>
    <w:p>
      <w:pPr>
        <w:pStyle w:val="5"/>
        <w:ind w:left="310" w:right="300"/>
      </w:pPr>
      <w:bookmarkStart w:id="19" w:name="_Toc217988731"/>
      <w:bookmarkStart w:id="20" w:name="_Toc206512677"/>
      <w:bookmarkStart w:id="21" w:name="_Toc219817767"/>
      <w:r>
        <w:t>规划理念</w:t>
      </w:r>
      <w:bookmarkEnd w:id="19"/>
      <w:bookmarkEnd w:id="20"/>
      <w:bookmarkEnd w:id="21"/>
    </w:p>
    <w:p>
      <w:pPr>
        <w:ind w:firstLine="600"/>
      </w:pPr>
      <w:r>
        <w:rPr>
          <w:rFonts w:hint="eastAsia"/>
        </w:rPr>
        <w:t>1.坚持公益惠民</w:t>
      </w:r>
    </w:p>
    <w:p>
      <w:pPr>
        <w:ind w:firstLine="600"/>
      </w:pPr>
      <w:r>
        <w:rPr>
          <w:rFonts w:hint="eastAsia"/>
        </w:rPr>
        <w:t>以人民为中心，聚焦村（居）民殡葬服务需求，以殡葬改革促进殡葬服务供给完善，优化殡葬资源配置，健全殡葬服务网络，建立基本殡葬服务制度，合理有序推进殡葬设施建设，保障人民群众“逝有所安”的基本殡葬需求。</w:t>
      </w:r>
    </w:p>
    <w:p>
      <w:pPr>
        <w:ind w:firstLine="600"/>
      </w:pPr>
      <w:r>
        <w:rPr>
          <w:rFonts w:hint="eastAsia"/>
        </w:rPr>
        <w:t>2.坚持</w:t>
      </w:r>
      <w:r>
        <w:rPr>
          <w:rFonts w:hint="eastAsia"/>
          <w:color w:val="333333"/>
          <w:shd w:val="clear" w:color="auto" w:fill="FFFFFF"/>
        </w:rPr>
        <w:t>文明节俭</w:t>
      </w:r>
    </w:p>
    <w:p>
      <w:pPr>
        <w:ind w:firstLine="600"/>
      </w:pPr>
      <w:r>
        <w:rPr>
          <w:rFonts w:hint="eastAsia"/>
        </w:rPr>
        <w:t>坚定不移推行殡葬改革，把文明节俭的理念贯穿于殡葬改革全过程，大力弘扬社会主义核心价值观，传递文明理念，引导群众转变观念、革除陋俗，树立厚养薄葬、文明节俭的新风尚。</w:t>
      </w:r>
    </w:p>
    <w:p>
      <w:pPr>
        <w:ind w:firstLine="600"/>
      </w:pPr>
      <w:r>
        <w:rPr>
          <w:rFonts w:hint="eastAsia"/>
        </w:rPr>
        <w:t>3.坚持绿色生态</w:t>
      </w:r>
    </w:p>
    <w:p>
      <w:pPr>
        <w:ind w:firstLine="600"/>
      </w:pPr>
      <w:r>
        <w:rPr>
          <w:rFonts w:hint="eastAsia"/>
        </w:rPr>
        <w:t>以节约资源、保护环境为价值导向，鼓励和引导人们采用树葬、海葬、深埋、格位存放等不占或少占土地、少耗资源、少使用不可降解材料的方式安葬骨灰或遗体，使安葬活动更好地促进人与自然和谐发展。</w:t>
      </w:r>
    </w:p>
    <w:p>
      <w:pPr>
        <w:pStyle w:val="5"/>
        <w:ind w:left="310" w:right="300"/>
      </w:pPr>
      <w:bookmarkStart w:id="22" w:name="_Toc219817768"/>
      <w:bookmarkStart w:id="23" w:name="_Toc217988732"/>
      <w:bookmarkStart w:id="24" w:name="_Toc206512678"/>
      <w:r>
        <w:rPr>
          <w:rFonts w:hint="eastAsia"/>
        </w:rPr>
        <w:t>规划依据</w:t>
      </w:r>
      <w:bookmarkEnd w:id="22"/>
      <w:bookmarkEnd w:id="23"/>
      <w:bookmarkEnd w:id="24"/>
    </w:p>
    <w:p>
      <w:pPr>
        <w:pStyle w:val="93"/>
        <w:numPr>
          <w:ilvl w:val="0"/>
          <w:numId w:val="12"/>
        </w:numPr>
        <w:ind w:firstLineChars="0"/>
        <w:rPr>
          <w:lang w:bidi="ar"/>
        </w:rPr>
      </w:pPr>
      <w:r>
        <w:rPr>
          <w:rFonts w:hint="eastAsia"/>
          <w:lang w:bidi="ar"/>
        </w:rPr>
        <w:t>《中华人民共和国城乡规划法》</w:t>
      </w:r>
    </w:p>
    <w:p>
      <w:pPr>
        <w:pStyle w:val="93"/>
        <w:numPr>
          <w:ilvl w:val="0"/>
          <w:numId w:val="12"/>
        </w:numPr>
        <w:ind w:firstLineChars="0"/>
        <w:rPr>
          <w:lang w:bidi="ar"/>
        </w:rPr>
      </w:pPr>
      <w:r>
        <w:rPr>
          <w:rFonts w:hint="eastAsia"/>
          <w:lang w:bidi="ar"/>
        </w:rPr>
        <w:t>《中华人民共和国土地管理法》</w:t>
      </w:r>
    </w:p>
    <w:p>
      <w:pPr>
        <w:pStyle w:val="93"/>
        <w:numPr>
          <w:ilvl w:val="0"/>
          <w:numId w:val="12"/>
        </w:numPr>
        <w:ind w:firstLineChars="0"/>
        <w:rPr>
          <w:lang w:bidi="ar"/>
        </w:rPr>
      </w:pPr>
      <w:r>
        <w:rPr>
          <w:rFonts w:hint="eastAsia"/>
          <w:lang w:bidi="ar"/>
        </w:rPr>
        <w:t>《中华人民共和国环境保护法》</w:t>
      </w:r>
    </w:p>
    <w:p>
      <w:pPr>
        <w:pStyle w:val="93"/>
        <w:numPr>
          <w:ilvl w:val="0"/>
          <w:numId w:val="12"/>
        </w:numPr>
        <w:ind w:firstLineChars="0"/>
        <w:rPr>
          <w:lang w:bidi="ar"/>
        </w:rPr>
      </w:pPr>
      <w:r>
        <w:rPr>
          <w:rFonts w:hint="eastAsia"/>
          <w:lang w:bidi="ar"/>
        </w:rPr>
        <w:t>《中华人民共和国文物保护法》</w:t>
      </w:r>
    </w:p>
    <w:p>
      <w:pPr>
        <w:pStyle w:val="93"/>
        <w:numPr>
          <w:ilvl w:val="0"/>
          <w:numId w:val="12"/>
        </w:numPr>
        <w:ind w:firstLineChars="0"/>
        <w:rPr>
          <w:lang w:bidi="ar"/>
        </w:rPr>
      </w:pPr>
      <w:r>
        <w:rPr>
          <w:rFonts w:hint="eastAsia"/>
          <w:lang w:bidi="ar"/>
        </w:rPr>
        <w:t>《中华人民共和国森林法》</w:t>
      </w:r>
    </w:p>
    <w:p>
      <w:pPr>
        <w:pStyle w:val="93"/>
        <w:numPr>
          <w:ilvl w:val="0"/>
          <w:numId w:val="12"/>
        </w:numPr>
        <w:ind w:firstLineChars="0"/>
        <w:rPr>
          <w:lang w:bidi="ar"/>
        </w:rPr>
      </w:pPr>
      <w:r>
        <w:rPr>
          <w:lang w:bidi="ar"/>
        </w:rPr>
        <w:t>《殡葬管理条例》</w:t>
      </w:r>
    </w:p>
    <w:p>
      <w:pPr>
        <w:pStyle w:val="93"/>
        <w:numPr>
          <w:ilvl w:val="0"/>
          <w:numId w:val="12"/>
        </w:numPr>
        <w:ind w:firstLineChars="0"/>
        <w:rPr>
          <w:lang w:bidi="ar"/>
        </w:rPr>
      </w:pPr>
      <w:bookmarkStart w:id="25" w:name="_Hlk220338790"/>
      <w:r>
        <w:rPr>
          <w:rFonts w:hint="eastAsia"/>
          <w:lang w:bidi="ar"/>
        </w:rPr>
        <w:t>《城市公益性公墓建设标准》（建标</w:t>
      </w:r>
      <w:r>
        <w:rPr>
          <w:lang w:bidi="ar"/>
        </w:rPr>
        <w:t>〔2017〕</w:t>
      </w:r>
      <w:r>
        <w:rPr>
          <w:rFonts w:hint="eastAsia"/>
          <w:lang w:bidi="ar"/>
        </w:rPr>
        <w:t>6</w:t>
      </w:r>
      <w:r>
        <w:rPr>
          <w:lang w:bidi="ar"/>
        </w:rPr>
        <w:t>0号</w:t>
      </w:r>
      <w:r>
        <w:rPr>
          <w:rFonts w:hint="eastAsia"/>
          <w:lang w:bidi="ar"/>
        </w:rPr>
        <w:t>）</w:t>
      </w:r>
      <w:bookmarkEnd w:id="25"/>
    </w:p>
    <w:p>
      <w:pPr>
        <w:pStyle w:val="93"/>
        <w:numPr>
          <w:ilvl w:val="0"/>
          <w:numId w:val="12"/>
        </w:numPr>
        <w:ind w:firstLineChars="0"/>
        <w:rPr>
          <w:lang w:bidi="ar"/>
        </w:rPr>
      </w:pPr>
      <w:r>
        <w:rPr>
          <w:rFonts w:hint="eastAsia"/>
          <w:lang w:bidi="ar"/>
        </w:rPr>
        <w:t>《中共中央 国务院关于建立国土空间规划体系并监督实施的若干意见》</w:t>
      </w:r>
    </w:p>
    <w:p>
      <w:pPr>
        <w:pStyle w:val="93"/>
        <w:numPr>
          <w:ilvl w:val="0"/>
          <w:numId w:val="12"/>
        </w:numPr>
        <w:ind w:firstLineChars="0"/>
        <w:rPr>
          <w:lang w:bidi="ar"/>
        </w:rPr>
      </w:pPr>
      <w:r>
        <w:rPr>
          <w:rFonts w:hint="eastAsia"/>
          <w:lang w:bidi="ar"/>
        </w:rPr>
        <w:t>《民政部关于全面推行惠民殡葬政策的指导意见》（民发〔2012〕211号）</w:t>
      </w:r>
    </w:p>
    <w:p>
      <w:pPr>
        <w:pStyle w:val="93"/>
        <w:numPr>
          <w:ilvl w:val="0"/>
          <w:numId w:val="12"/>
        </w:numPr>
        <w:ind w:firstLineChars="0"/>
        <w:rPr>
          <w:lang w:bidi="ar"/>
        </w:rPr>
      </w:pPr>
      <w:r>
        <w:rPr>
          <w:rFonts w:hint="eastAsia"/>
          <w:lang w:bidi="ar"/>
        </w:rPr>
        <w:t>《关于推行节地生态安葬的指导意见》（</w:t>
      </w:r>
      <w:r>
        <w:rPr>
          <w:lang w:bidi="ar"/>
        </w:rPr>
        <w:t>民发〔2016〕21号</w:t>
      </w:r>
      <w:r>
        <w:rPr>
          <w:rFonts w:hint="eastAsia"/>
          <w:lang w:bidi="ar"/>
        </w:rPr>
        <w:t>）</w:t>
      </w:r>
    </w:p>
    <w:p>
      <w:pPr>
        <w:pStyle w:val="93"/>
        <w:numPr>
          <w:ilvl w:val="0"/>
          <w:numId w:val="12"/>
        </w:numPr>
        <w:ind w:firstLineChars="0"/>
        <w:rPr>
          <w:lang w:bidi="ar"/>
        </w:rPr>
      </w:pPr>
      <w:r>
        <w:rPr>
          <w:rFonts w:hint="eastAsia"/>
          <w:lang w:bidi="ar"/>
        </w:rPr>
        <w:t>《关于进一步推动殡葬改革促进殡葬事业发展的指导意见》（</w:t>
      </w:r>
      <w:r>
        <w:rPr>
          <w:lang w:bidi="ar"/>
        </w:rPr>
        <w:t>民发〔2018〕5号</w:t>
      </w:r>
      <w:r>
        <w:rPr>
          <w:rFonts w:hint="eastAsia"/>
          <w:lang w:bidi="ar"/>
        </w:rPr>
        <w:t>）</w:t>
      </w:r>
    </w:p>
    <w:p>
      <w:pPr>
        <w:pStyle w:val="93"/>
        <w:numPr>
          <w:ilvl w:val="0"/>
          <w:numId w:val="12"/>
        </w:numPr>
        <w:ind w:firstLineChars="0"/>
        <w:rPr>
          <w:lang w:bidi="ar"/>
        </w:rPr>
      </w:pPr>
      <w:r>
        <w:rPr>
          <w:rFonts w:hint="eastAsia"/>
          <w:lang w:bidi="ar"/>
        </w:rPr>
        <w:t>《北京市城乡规划条例》</w:t>
      </w:r>
    </w:p>
    <w:p>
      <w:pPr>
        <w:pStyle w:val="93"/>
        <w:numPr>
          <w:ilvl w:val="0"/>
          <w:numId w:val="12"/>
        </w:numPr>
        <w:ind w:firstLineChars="0"/>
        <w:rPr>
          <w:lang w:bidi="ar"/>
        </w:rPr>
      </w:pPr>
      <w:r>
        <w:rPr>
          <w:rFonts w:hint="eastAsia"/>
          <w:lang w:bidi="ar"/>
        </w:rPr>
        <w:t>《北京市殡葬管理条例》</w:t>
      </w:r>
    </w:p>
    <w:p>
      <w:pPr>
        <w:pStyle w:val="93"/>
        <w:numPr>
          <w:ilvl w:val="0"/>
          <w:numId w:val="12"/>
        </w:numPr>
        <w:ind w:firstLineChars="0"/>
        <w:rPr>
          <w:lang w:bidi="ar"/>
        </w:rPr>
      </w:pPr>
      <w:r>
        <w:rPr>
          <w:rFonts w:hint="eastAsia"/>
          <w:lang w:bidi="ar"/>
        </w:rPr>
        <w:t>《北京城市总体规划（</w:t>
      </w:r>
      <w:r>
        <w:rPr>
          <w:lang w:bidi="ar"/>
        </w:rPr>
        <w:t>2016</w:t>
      </w:r>
      <w:r>
        <w:rPr>
          <w:rFonts w:hint="eastAsia"/>
          <w:lang w:bidi="ar"/>
        </w:rPr>
        <w:t>年</w:t>
      </w:r>
      <w:r>
        <w:rPr>
          <w:lang w:bidi="ar"/>
        </w:rPr>
        <w:t>—2035</w:t>
      </w:r>
      <w:r>
        <w:rPr>
          <w:rFonts w:hint="eastAsia"/>
          <w:lang w:bidi="ar"/>
        </w:rPr>
        <w:t>年）》</w:t>
      </w:r>
    </w:p>
    <w:p>
      <w:pPr>
        <w:pStyle w:val="93"/>
        <w:numPr>
          <w:ilvl w:val="0"/>
          <w:numId w:val="12"/>
        </w:numPr>
        <w:ind w:firstLineChars="0"/>
        <w:rPr>
          <w:lang w:bidi="ar"/>
        </w:rPr>
      </w:pPr>
      <w:r>
        <w:rPr>
          <w:rFonts w:hint="eastAsia"/>
          <w:lang w:bidi="ar"/>
        </w:rPr>
        <w:t>《中共北京市委北京市人民政府关于建立国土空间规划体系并监督实施的实施意见》</w:t>
      </w:r>
    </w:p>
    <w:p>
      <w:pPr>
        <w:pStyle w:val="93"/>
        <w:numPr>
          <w:ilvl w:val="0"/>
          <w:numId w:val="12"/>
        </w:numPr>
        <w:ind w:firstLineChars="0"/>
        <w:rPr>
          <w:lang w:bidi="ar"/>
        </w:rPr>
      </w:pPr>
      <w:r>
        <w:rPr>
          <w:rFonts w:hint="eastAsia"/>
          <w:lang w:bidi="ar"/>
        </w:rPr>
        <w:t>《北京市殡葬设施专项规划（2021年—2035年）》</w:t>
      </w:r>
    </w:p>
    <w:p>
      <w:pPr>
        <w:pStyle w:val="93"/>
        <w:numPr>
          <w:ilvl w:val="0"/>
          <w:numId w:val="12"/>
        </w:numPr>
        <w:ind w:firstLineChars="0"/>
      </w:pPr>
      <w:r>
        <w:rPr>
          <w:rFonts w:hint="eastAsia"/>
        </w:rPr>
        <w:t>《丰台分区规划（国土空间规划）（</w:t>
      </w:r>
      <w:r>
        <w:t>2017年—2035年）》</w:t>
      </w:r>
    </w:p>
    <w:p>
      <w:pPr>
        <w:pStyle w:val="5"/>
        <w:ind w:left="310" w:right="300"/>
      </w:pPr>
      <w:bookmarkStart w:id="26" w:name="_Toc217988733"/>
      <w:bookmarkStart w:id="27" w:name="_Toc219817769"/>
      <w:bookmarkStart w:id="28" w:name="_Toc206512679"/>
      <w:r>
        <w:rPr>
          <w:rFonts w:hint="eastAsia"/>
        </w:rPr>
        <w:t>规划范围</w:t>
      </w:r>
      <w:bookmarkEnd w:id="26"/>
      <w:bookmarkEnd w:id="27"/>
      <w:bookmarkEnd w:id="28"/>
    </w:p>
    <w:p>
      <w:pPr>
        <w:ind w:firstLine="600"/>
        <w:rPr>
          <w:lang w:bidi="ar"/>
        </w:rPr>
      </w:pPr>
      <w:r>
        <w:rPr>
          <w:rFonts w:hint="eastAsia"/>
          <w:lang w:bidi="ar"/>
        </w:rPr>
        <w:t>规划范围为丰台区行政辖区，总面积约305.5平方公里。</w:t>
      </w:r>
    </w:p>
    <w:p>
      <w:pPr>
        <w:pStyle w:val="5"/>
        <w:ind w:left="310" w:right="300"/>
      </w:pPr>
      <w:bookmarkStart w:id="29" w:name="_Toc219817770"/>
      <w:bookmarkStart w:id="30" w:name="_Toc206512680"/>
      <w:bookmarkStart w:id="31" w:name="_Toc217988734"/>
      <w:r>
        <w:rPr>
          <w:rFonts w:hint="eastAsia"/>
        </w:rPr>
        <w:t>规划期限</w:t>
      </w:r>
      <w:bookmarkEnd w:id="29"/>
      <w:bookmarkEnd w:id="30"/>
      <w:bookmarkEnd w:id="31"/>
    </w:p>
    <w:p>
      <w:pPr>
        <w:ind w:firstLine="600"/>
        <w:rPr>
          <w:lang w:bidi="ar"/>
        </w:rPr>
      </w:pPr>
      <w:r>
        <w:rPr>
          <w:rFonts w:hint="eastAsia"/>
          <w:lang w:bidi="ar"/>
        </w:rPr>
        <w:t>规划期限为</w:t>
      </w:r>
      <w:r>
        <w:rPr>
          <w:lang w:bidi="ar"/>
        </w:rPr>
        <w:t>2026</w:t>
      </w:r>
      <w:r>
        <w:rPr>
          <w:rFonts w:hint="eastAsia"/>
          <w:lang w:bidi="ar"/>
        </w:rPr>
        <w:t>年至</w:t>
      </w:r>
      <w:r>
        <w:rPr>
          <w:lang w:bidi="ar"/>
        </w:rPr>
        <w:t>2035</w:t>
      </w:r>
      <w:r>
        <w:rPr>
          <w:rFonts w:hint="eastAsia"/>
          <w:lang w:bidi="ar"/>
        </w:rPr>
        <w:t>年，明确到2035年殡葬设施服务各项内容。</w:t>
      </w:r>
    </w:p>
    <w:p>
      <w:pPr>
        <w:pStyle w:val="5"/>
        <w:ind w:left="310" w:right="300"/>
      </w:pPr>
      <w:bookmarkStart w:id="32" w:name="_Toc206512681"/>
      <w:bookmarkStart w:id="33" w:name="_Toc217988735"/>
      <w:bookmarkStart w:id="34" w:name="_Toc219817771"/>
      <w:r>
        <w:rPr>
          <w:rFonts w:hint="eastAsia"/>
        </w:rPr>
        <w:t>重点内容</w:t>
      </w:r>
      <w:bookmarkEnd w:id="32"/>
      <w:bookmarkEnd w:id="33"/>
      <w:bookmarkEnd w:id="34"/>
    </w:p>
    <w:p>
      <w:pPr>
        <w:ind w:firstLine="600"/>
        <w:rPr>
          <w:lang w:bidi="ar"/>
        </w:rPr>
      </w:pPr>
      <w:r>
        <w:rPr>
          <w:rFonts w:hint="eastAsia"/>
          <w:lang w:bidi="ar"/>
        </w:rPr>
        <w:t>以公益性公墓为重点，在落实全市殡葬设施专项规划要求的基础上，进一步厘清现状；严格执行布局要求和建设标准，合理预测空间需求，加强规模控制；优化设施布局，落实各级各类殡葬设施用地四至范围；制定实施计划，保障各级殡葬设施落点落图。规划聚焦以下几方面内容：</w:t>
      </w:r>
    </w:p>
    <w:p>
      <w:pPr>
        <w:ind w:firstLine="600"/>
        <w:rPr>
          <w:lang w:bidi="ar"/>
        </w:rPr>
      </w:pPr>
      <w:r>
        <w:rPr>
          <w:rFonts w:hint="eastAsia"/>
          <w:lang w:bidi="ar"/>
        </w:rPr>
        <w:t>1.摸清底数</w:t>
      </w:r>
    </w:p>
    <w:p>
      <w:pPr>
        <w:ind w:firstLine="600"/>
        <w:rPr>
          <w:lang w:bidi="ar"/>
        </w:rPr>
      </w:pPr>
      <w:r>
        <w:rPr>
          <w:rFonts w:hint="eastAsia"/>
          <w:lang w:bidi="ar"/>
        </w:rPr>
        <w:t>梳理全区现状公益性和经营性公墓的审批、占地、墓位建设和骨灰安置等情况，形成基础底数。</w:t>
      </w:r>
    </w:p>
    <w:p>
      <w:pPr>
        <w:ind w:firstLine="600"/>
        <w:rPr>
          <w:lang w:bidi="ar"/>
        </w:rPr>
      </w:pPr>
      <w:r>
        <w:rPr>
          <w:rFonts w:hint="eastAsia"/>
          <w:lang w:bidi="ar"/>
        </w:rPr>
        <w:t>2.明确需求</w:t>
      </w:r>
    </w:p>
    <w:p>
      <w:pPr>
        <w:ind w:firstLine="600"/>
        <w:rPr>
          <w:lang w:bidi="ar"/>
        </w:rPr>
      </w:pPr>
      <w:r>
        <w:rPr>
          <w:rFonts w:hint="eastAsia"/>
          <w:lang w:bidi="ar"/>
        </w:rPr>
        <w:t>确定合理的生态安葬比例和建设标准。充分挖掘空间资源潜力，落实市级殡葬专项规划要求，结合当地殡葬设施存量情况，分类型合理测算新增公益性殡葬设施空间需求，提出分阶段供地需求和供地时序建议。</w:t>
      </w:r>
    </w:p>
    <w:p>
      <w:pPr>
        <w:ind w:firstLine="600"/>
        <w:rPr>
          <w:lang w:bidi="ar"/>
        </w:rPr>
      </w:pPr>
      <w:r>
        <w:rPr>
          <w:rFonts w:hint="eastAsia"/>
          <w:lang w:bidi="ar"/>
        </w:rPr>
        <w:t>3.优化布局</w:t>
      </w:r>
    </w:p>
    <w:p>
      <w:pPr>
        <w:ind w:firstLine="600"/>
        <w:rPr>
          <w:lang w:bidi="ar"/>
        </w:rPr>
      </w:pPr>
      <w:r>
        <w:rPr>
          <w:rFonts w:hint="eastAsia"/>
          <w:lang w:bidi="ar"/>
        </w:rPr>
        <w:t>针对现状殡葬设施供需关系结构性失调、服务覆盖率不足等问题，按照供需适配原则，对不同地区、不同类型的殡葬设施提出差异化配置策略，提出公益性公墓的具体布局方案，衔接相关街区控制性详细规划等明确用地边界和规划指标，最终实现落点落图，确保公益性殡葬设施供给与群众基本殡葬需求相匹配、与殡葬管理要求相适应。</w:t>
      </w:r>
    </w:p>
    <w:p>
      <w:pPr>
        <w:ind w:firstLine="600"/>
        <w:rPr>
          <w:lang w:bidi="ar"/>
        </w:rPr>
        <w:sectPr>
          <w:pgSz w:w="11906" w:h="16838"/>
          <w:pgMar w:top="1440" w:right="1800" w:bottom="1440" w:left="1800" w:header="851" w:footer="992" w:gutter="0"/>
          <w:pgNumType w:start="1"/>
          <w:cols w:space="425" w:num="1"/>
          <w:docGrid w:type="lines" w:linePitch="381" w:charSpace="0"/>
        </w:sectPr>
      </w:pPr>
    </w:p>
    <w:p>
      <w:pPr>
        <w:pStyle w:val="3"/>
        <w:spacing w:after="422"/>
        <w:ind w:left="310" w:right="310"/>
      </w:pPr>
      <w:bookmarkStart w:id="35" w:name="_Toc206512682"/>
      <w:bookmarkStart w:id="36" w:name="_Toc219817772"/>
      <w:r>
        <w:t>第一章</w:t>
      </w:r>
      <w:r>
        <w:rPr>
          <w:rFonts w:hint="eastAsia"/>
        </w:rPr>
        <w:t xml:space="preserve"> </w:t>
      </w:r>
      <w:bookmarkEnd w:id="35"/>
      <w:bookmarkEnd w:id="36"/>
      <w:r>
        <w:rPr>
          <w:rFonts w:hint="eastAsia"/>
        </w:rPr>
        <w:t>现状</w:t>
      </w:r>
      <w:r>
        <w:t>评价</w:t>
      </w:r>
    </w:p>
    <w:p>
      <w:pPr>
        <w:pStyle w:val="4"/>
        <w:spacing w:before="211" w:after="211"/>
      </w:pPr>
      <w:bookmarkStart w:id="37" w:name="_Toc219817773"/>
      <w:bookmarkStart w:id="38" w:name="_Toc206512683"/>
      <w:r>
        <w:rPr>
          <w:rFonts w:hint="eastAsia"/>
        </w:rPr>
        <w:t>第一节 殡葬设施</w:t>
      </w:r>
      <w:bookmarkEnd w:id="37"/>
      <w:bookmarkEnd w:id="38"/>
    </w:p>
    <w:p>
      <w:pPr>
        <w:ind w:firstLine="600"/>
      </w:pPr>
      <w:r>
        <w:rPr>
          <w:rFonts w:hint="eastAsia"/>
        </w:rPr>
        <w:t>殡葬设施是满足群众殡葬服务需求所必需的设施，包括殡仪馆、骨灰堂、公墓。丰台区现状主要涉及公墓。</w:t>
      </w:r>
    </w:p>
    <w:p>
      <w:pPr>
        <w:pStyle w:val="5"/>
        <w:spacing w:before="211" w:after="211"/>
        <w:ind w:left="310" w:right="300"/>
      </w:pPr>
      <w:r>
        <w:rPr>
          <w:rFonts w:hint="eastAsia"/>
        </w:rPr>
        <w:t>公墓</w:t>
      </w:r>
    </w:p>
    <w:p>
      <w:pPr>
        <w:ind w:firstLine="600"/>
      </w:pPr>
      <w:r>
        <w:rPr>
          <w:rFonts w:hint="eastAsia"/>
          <w:lang w:bidi="ar"/>
        </w:rPr>
        <w:t>公墓包括公益性公墓和经营性公墓两类。</w:t>
      </w:r>
    </w:p>
    <w:p>
      <w:pPr>
        <w:ind w:firstLine="600"/>
      </w:pPr>
      <w:r>
        <w:rPr>
          <w:rFonts w:ascii="Times New Roman" w:hAnsi="Times New Roman"/>
          <w:lang w:bidi="ar"/>
        </w:rPr>
        <w:t>1.</w:t>
      </w:r>
      <w:r>
        <w:rPr>
          <w:rFonts w:hint="eastAsia"/>
          <w:lang w:bidi="ar"/>
        </w:rPr>
        <w:t>公益性公墓</w:t>
      </w:r>
    </w:p>
    <w:p>
      <w:pPr>
        <w:ind w:firstLine="600"/>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公益性公墓是指民政部门审批，不以营利为目的，为全区村（居）民提供公益性安葬服务的殡葬设施。</w:t>
      </w:r>
    </w:p>
    <w:p>
      <w:pPr>
        <w:ind w:firstLine="600"/>
        <w:rPr>
          <w:sz w:val="28"/>
          <w:lang w:bidi="ar"/>
        </w:rPr>
      </w:pPr>
      <w:r>
        <w:rPr>
          <w:rFonts w:hint="eastAsia"/>
          <w:color w:val="000000" w:themeColor="text1"/>
          <w:lang w:bidi="ar"/>
          <w14:textFill>
            <w14:solidFill>
              <w14:schemeClr w14:val="tx1"/>
            </w14:solidFill>
          </w14:textFill>
        </w:rPr>
        <w:t>目</w:t>
      </w:r>
      <w:r>
        <w:rPr>
          <w:rFonts w:hint="eastAsia"/>
          <w:lang w:bidi="ar"/>
        </w:rPr>
        <w:t>前丰台区共有3家现状公益性公墓，分别为玉叶陵园、双佛山纪念林园和东河沿公墓。</w:t>
      </w:r>
    </w:p>
    <w:p>
      <w:pPr>
        <w:ind w:firstLine="600"/>
        <w:rPr>
          <w:rFonts w:ascii="Times New Roman" w:hAnsi="Times New Roman"/>
          <w:lang w:bidi="ar"/>
        </w:rPr>
      </w:pPr>
      <w:r>
        <w:rPr>
          <w:rFonts w:ascii="Times New Roman" w:hAnsi="Times New Roman"/>
          <w:lang w:bidi="ar"/>
        </w:rPr>
        <w:t>2.</w:t>
      </w:r>
      <w:r>
        <w:rPr>
          <w:rFonts w:hint="eastAsia"/>
          <w:lang w:bidi="ar"/>
        </w:rPr>
        <w:t>经营性公墓</w:t>
      </w:r>
    </w:p>
    <w:p>
      <w:pPr>
        <w:ind w:firstLine="600"/>
        <w:rPr>
          <w:lang w:bidi="ar"/>
        </w:rPr>
      </w:pPr>
      <w:r>
        <w:rPr>
          <w:rFonts w:hint="eastAsia"/>
          <w:lang w:bidi="ar"/>
        </w:rPr>
        <w:t>经营性公墓是指为城镇居民提供骨灰或遗体安葬实行有偿服务的公共墓地。</w:t>
      </w:r>
    </w:p>
    <w:p>
      <w:pPr>
        <w:ind w:firstLine="600"/>
        <w:rPr>
          <w:lang w:bidi="ar"/>
        </w:rPr>
      </w:pPr>
      <w:r>
        <w:rPr>
          <w:rFonts w:hint="eastAsia"/>
          <w:lang w:bidi="ar"/>
        </w:rPr>
        <w:t>目前丰台区共有3家现状经营性公墓，分别为北京市回民公墓、太子峪陵园、思亲园骨灰林</w:t>
      </w:r>
      <w:bookmarkStart w:id="39" w:name="OLE_LINK34"/>
      <w:bookmarkStart w:id="40" w:name="OLE_LINK35"/>
      <w:r>
        <w:rPr>
          <w:rFonts w:hint="eastAsia"/>
          <w:lang w:bidi="ar"/>
        </w:rPr>
        <w:t>。</w:t>
      </w:r>
    </w:p>
    <w:bookmarkEnd w:id="39"/>
    <w:bookmarkEnd w:id="40"/>
    <w:p>
      <w:pPr>
        <w:ind w:firstLine="560"/>
        <w:rPr>
          <w:sz w:val="28"/>
          <w:lang w:bidi="ar"/>
        </w:rPr>
      </w:pPr>
      <w:bookmarkStart w:id="41" w:name="_Toc206512686"/>
    </w:p>
    <w:p>
      <w:pPr>
        <w:pStyle w:val="4"/>
        <w:spacing w:before="211" w:after="211"/>
      </w:pPr>
      <w:r>
        <w:t>第二节</w:t>
      </w:r>
      <w:r>
        <w:rPr>
          <w:rFonts w:hint="eastAsia"/>
        </w:rPr>
        <w:t xml:space="preserve"> </w:t>
      </w:r>
      <w:r>
        <w:t>集中埋葬点</w:t>
      </w:r>
    </w:p>
    <w:p>
      <w:pPr>
        <w:pStyle w:val="5"/>
        <w:spacing w:before="211" w:after="211"/>
        <w:ind w:left="310" w:right="300"/>
      </w:pPr>
      <w:bookmarkStart w:id="42" w:name="_Toc217988739"/>
      <w:bookmarkStart w:id="43" w:name="_Toc219817775"/>
      <w:r>
        <w:t>集中埋葬点</w:t>
      </w:r>
      <w:bookmarkEnd w:id="41"/>
      <w:bookmarkEnd w:id="42"/>
      <w:bookmarkEnd w:id="43"/>
    </w:p>
    <w:p>
      <w:pPr>
        <w:ind w:firstLine="600"/>
        <w:rPr>
          <w:lang w:bidi="ar"/>
        </w:rPr>
      </w:pPr>
      <w:r>
        <w:rPr>
          <w:rFonts w:hint="eastAsia"/>
          <w:lang w:bidi="ar"/>
        </w:rPr>
        <w:t>集中埋葬点是由于历史因素或城市化进程中形成的、具有一定安葬规模、边界相对稳定的坟墓集中区域。</w:t>
      </w:r>
    </w:p>
    <w:p>
      <w:pPr>
        <w:ind w:firstLine="600"/>
        <w:rPr>
          <w:lang w:bidi="ar"/>
        </w:rPr>
      </w:pPr>
      <w:r>
        <w:rPr>
          <w:rFonts w:hint="eastAsia"/>
          <w:lang w:bidi="ar"/>
        </w:rPr>
        <w:t>目前丰台区</w:t>
      </w:r>
      <w:bookmarkStart w:id="44" w:name="OLE_LINK144"/>
      <w:bookmarkStart w:id="45" w:name="OLE_LINK143"/>
      <w:r>
        <w:rPr>
          <w:rFonts w:hint="eastAsia"/>
          <w:lang w:bidi="ar"/>
        </w:rPr>
        <w:t>尚存多处集中埋葬点，</w:t>
      </w:r>
      <w:bookmarkEnd w:id="44"/>
      <w:bookmarkEnd w:id="45"/>
      <w:bookmarkStart w:id="46" w:name="_Hlk219880964"/>
      <w:bookmarkStart w:id="47" w:name="_Hlk219880973"/>
      <w:r>
        <w:rPr>
          <w:rFonts w:hint="eastAsia"/>
          <w:lang w:bidi="ar"/>
        </w:rPr>
        <w:t>统筹考虑全区规划建设发展情况，开展治理工作，逐步实现规范化管理。</w:t>
      </w:r>
      <w:bookmarkEnd w:id="46"/>
      <w:bookmarkEnd w:id="47"/>
    </w:p>
    <w:p>
      <w:pPr>
        <w:pStyle w:val="4"/>
        <w:spacing w:before="211" w:after="211"/>
      </w:pPr>
      <w:r>
        <w:rPr>
          <w:rFonts w:hint="eastAsia"/>
        </w:rPr>
        <w:t>第三节 散坟</w:t>
      </w:r>
    </w:p>
    <w:p>
      <w:pPr>
        <w:pStyle w:val="5"/>
        <w:spacing w:before="211" w:after="211"/>
        <w:ind w:left="310" w:right="300"/>
      </w:pPr>
      <w:r>
        <w:rPr>
          <w:rFonts w:hint="eastAsia"/>
        </w:rPr>
        <w:t>散坟</w:t>
      </w:r>
    </w:p>
    <w:p>
      <w:pPr>
        <w:ind w:firstLine="600"/>
        <w:rPr>
          <w:lang w:bidi="ar"/>
        </w:rPr>
      </w:pPr>
      <w:r>
        <w:rPr>
          <w:rFonts w:hint="eastAsia"/>
          <w:lang w:bidi="ar"/>
        </w:rPr>
        <w:t>丰台区已基本完成散坟治理工作。</w:t>
      </w:r>
    </w:p>
    <w:p>
      <w:pPr>
        <w:pStyle w:val="4"/>
        <w:spacing w:before="211" w:after="211"/>
      </w:pPr>
      <w:bookmarkStart w:id="48" w:name="_Toc206512687"/>
      <w:bookmarkStart w:id="49" w:name="_Toc219817776"/>
      <w:r>
        <w:t>第</w:t>
      </w:r>
      <w:r>
        <w:rPr>
          <w:rFonts w:hint="eastAsia"/>
        </w:rPr>
        <w:t>四</w:t>
      </w:r>
      <w:r>
        <w:t>节</w:t>
      </w:r>
      <w:r>
        <w:rPr>
          <w:rFonts w:hint="eastAsia"/>
        </w:rPr>
        <w:t xml:space="preserve"> </w:t>
      </w:r>
      <w:r>
        <w:t>现状评价</w:t>
      </w:r>
      <w:bookmarkEnd w:id="48"/>
      <w:bookmarkEnd w:id="49"/>
    </w:p>
    <w:p>
      <w:pPr>
        <w:pStyle w:val="5"/>
        <w:spacing w:before="211" w:after="211"/>
        <w:ind w:left="310" w:right="300"/>
      </w:pPr>
      <w:bookmarkStart w:id="50" w:name="_Toc217988741"/>
      <w:bookmarkStart w:id="51" w:name="_Toc206512688"/>
      <w:bookmarkStart w:id="52" w:name="_Toc219817777"/>
      <w:r>
        <w:rPr>
          <w:rFonts w:hint="eastAsia"/>
        </w:rPr>
        <w:t>主要成效</w:t>
      </w:r>
      <w:bookmarkEnd w:id="50"/>
      <w:bookmarkEnd w:id="51"/>
      <w:bookmarkEnd w:id="52"/>
    </w:p>
    <w:p>
      <w:pPr>
        <w:ind w:firstLine="600"/>
        <w:rPr>
          <w:lang w:bidi="ar"/>
        </w:rPr>
      </w:pPr>
      <w:r>
        <w:rPr>
          <w:rFonts w:hint="eastAsia"/>
          <w:lang w:bidi="ar"/>
        </w:rPr>
        <w:t>近年来，丰台区在区委、区政府的领导下，积极贯彻党中央、国务院关于生态文明建设的一系列重大决策部署和殡葬改革要求，在葬式葬法改革、骨灰安葬多样化、完善惠民政策、优化服务环境等方面取得了积极成效。</w:t>
      </w:r>
    </w:p>
    <w:p>
      <w:pPr>
        <w:ind w:firstLine="600"/>
        <w:rPr>
          <w:lang w:bidi="ar"/>
        </w:rPr>
      </w:pPr>
      <w:r>
        <w:rPr>
          <w:rFonts w:hint="eastAsia"/>
          <w:lang w:bidi="ar"/>
        </w:rPr>
        <w:t>积极倡导科学、文明、健康的丧葬新风，遗体火化服务已实现全区覆盖，全区火化率保持100%；坚持公益惠民，一镇一公墓，实现公益性安置服务镇域全覆盖；绿色生态殡葬不断推进，出台《丰台区节地生态安葬补贴办法》（丰民政文</w:t>
      </w:r>
      <w:r>
        <w:rPr>
          <w:lang w:bidi="ar"/>
        </w:rPr>
        <w:t>〔2017〕41号</w:t>
      </w:r>
      <w:r>
        <w:rPr>
          <w:rFonts w:hint="eastAsia"/>
          <w:lang w:bidi="ar"/>
        </w:rPr>
        <w:t>），加大丧葬礼俗改革宣传力度，不断提高各公墓节地生态安葬比例；明确区级相关部门职责，出台《关于加强殡葬领域综合监管工作方案》</w:t>
      </w:r>
      <w:bookmarkStart w:id="53" w:name="_Hlk220341481"/>
      <w:r>
        <w:rPr>
          <w:rFonts w:hint="eastAsia"/>
          <w:lang w:bidi="ar"/>
        </w:rPr>
        <w:t>（丰民政文</w:t>
      </w:r>
      <w:r>
        <w:rPr>
          <w:lang w:bidi="ar"/>
        </w:rPr>
        <w:t>〔2025〕34号</w:t>
      </w:r>
      <w:r>
        <w:rPr>
          <w:rFonts w:hint="eastAsia"/>
          <w:lang w:bidi="ar"/>
        </w:rPr>
        <w:t>）</w:t>
      </w:r>
      <w:bookmarkEnd w:id="53"/>
      <w:r>
        <w:rPr>
          <w:rFonts w:hint="eastAsia"/>
          <w:lang w:bidi="ar"/>
        </w:rPr>
        <w:t>，强化部门综合监管力度，初步形成行政管理、经营管理、执法监管有机结合的殡葬管理模式。</w:t>
      </w:r>
    </w:p>
    <w:p>
      <w:pPr>
        <w:pStyle w:val="5"/>
        <w:spacing w:before="211" w:after="211"/>
        <w:ind w:left="310" w:right="300"/>
      </w:pPr>
      <w:r>
        <w:rPr>
          <w:rFonts w:hint="eastAsia"/>
        </w:rPr>
        <w:t>存在不足</w:t>
      </w:r>
    </w:p>
    <w:p>
      <w:pPr>
        <w:ind w:firstLine="600"/>
        <w:rPr>
          <w:highlight w:val="none"/>
          <w:lang w:bidi="ar"/>
        </w:rPr>
      </w:pPr>
      <w:r>
        <w:rPr>
          <w:rFonts w:hint="eastAsia"/>
          <w:lang w:val="en-US" w:eastAsia="zh-CN" w:bidi="ar"/>
        </w:rPr>
        <w:t>1.</w:t>
      </w:r>
      <w:r>
        <w:rPr>
          <w:lang w:bidi="ar"/>
        </w:rPr>
        <w:t>土地与禁限建要素存在矛盾，</w:t>
      </w:r>
      <w:r>
        <w:rPr>
          <w:highlight w:val="none"/>
          <w:lang w:bidi="ar"/>
        </w:rPr>
        <w:t>部分公墓存在</w:t>
      </w:r>
      <w:r>
        <w:rPr>
          <w:rFonts w:hint="eastAsia"/>
          <w:highlight w:val="none"/>
          <w:lang w:eastAsia="zh-CN" w:bidi="ar"/>
        </w:rPr>
        <w:t>与</w:t>
      </w:r>
      <w:r>
        <w:rPr>
          <w:highlight w:val="none"/>
          <w:lang w:bidi="ar"/>
        </w:rPr>
        <w:t>禁限建要素重叠</w:t>
      </w:r>
      <w:r>
        <w:rPr>
          <w:rFonts w:hint="eastAsia"/>
          <w:highlight w:val="none"/>
          <w:lang w:eastAsia="zh-CN" w:bidi="ar"/>
        </w:rPr>
        <w:t>的情况</w:t>
      </w:r>
      <w:r>
        <w:rPr>
          <w:highlight w:val="none"/>
          <w:lang w:bidi="ar"/>
        </w:rPr>
        <w:t>。</w:t>
      </w:r>
    </w:p>
    <w:p>
      <w:pPr>
        <w:ind w:firstLine="600"/>
        <w:rPr>
          <w:lang w:bidi="ar"/>
        </w:rPr>
      </w:pPr>
      <w:r>
        <w:rPr>
          <w:lang w:bidi="ar"/>
        </w:rPr>
        <w:t>2</w:t>
      </w:r>
      <w:r>
        <w:rPr>
          <w:rFonts w:hint="eastAsia"/>
          <w:lang w:bidi="ar"/>
        </w:rPr>
        <w:t>.集中埋葬点须规范治理</w:t>
      </w:r>
    </w:p>
    <w:p>
      <w:pPr>
        <w:ind w:firstLine="600"/>
        <w:rPr>
          <w:highlight w:val="green"/>
          <w:lang w:bidi="ar"/>
        </w:rPr>
      </w:pPr>
      <w:r>
        <w:rPr>
          <w:rFonts w:hint="eastAsia"/>
          <w:lang w:bidi="ar"/>
        </w:rPr>
        <w:t>集中埋葬点总量大、分布散，治理任务重；部分位于“三沿五区”（“三沿”是指铁路、公路和通航河道沿线；“五区”是指水源保护区、文物保护区、风景旅游区、住宅区和开发区），</w:t>
      </w:r>
      <w:r>
        <w:rPr>
          <w:rFonts w:hint="eastAsia"/>
          <w:highlight w:val="none"/>
          <w:lang w:bidi="ar"/>
        </w:rPr>
        <w:t>须开展</w:t>
      </w:r>
      <w:r>
        <w:rPr>
          <w:rFonts w:hint="eastAsia"/>
          <w:highlight w:val="none"/>
          <w:lang w:eastAsia="zh-CN" w:bidi="ar"/>
        </w:rPr>
        <w:t>规范</w:t>
      </w:r>
      <w:r>
        <w:rPr>
          <w:rFonts w:hint="eastAsia"/>
          <w:highlight w:val="none"/>
          <w:lang w:bidi="ar"/>
        </w:rPr>
        <w:t>治理。</w:t>
      </w:r>
    </w:p>
    <w:p>
      <w:pPr>
        <w:ind w:firstLine="600"/>
        <w:rPr>
          <w:lang w:bidi="ar"/>
        </w:rPr>
      </w:pPr>
      <w:r>
        <w:rPr>
          <w:lang w:bidi="ar"/>
        </w:rPr>
        <w:t>3</w:t>
      </w:r>
      <w:r>
        <w:rPr>
          <w:rFonts w:hint="eastAsia"/>
          <w:lang w:bidi="ar"/>
        </w:rPr>
        <w:t>.环境建设与运营管理待提升</w:t>
      </w:r>
    </w:p>
    <w:p>
      <w:pPr>
        <w:ind w:firstLine="600"/>
        <w:rPr>
          <w:lang w:bidi="ar"/>
        </w:rPr>
      </w:pPr>
      <w:r>
        <w:rPr>
          <w:rFonts w:hint="eastAsia"/>
          <w:lang w:bidi="ar"/>
        </w:rPr>
        <w:t>殡葬设施整体环境质量在多元化、人性化、生态化方面仍有较大提升空间。现状公墓配套停车设施、休息室、卫生间、追思室等服务设施配置不足、建设水平不高。部分公墓存在绿化率低、设施维护不足等问题，运营管理需要进一步规范。</w:t>
      </w:r>
    </w:p>
    <w:p>
      <w:pPr>
        <w:ind w:firstLine="600"/>
        <w:rPr>
          <w:lang w:bidi="ar"/>
        </w:rPr>
      </w:pPr>
      <w:r>
        <w:rPr>
          <w:lang w:bidi="ar"/>
        </w:rPr>
        <w:t>4</w:t>
      </w:r>
      <w:r>
        <w:rPr>
          <w:rFonts w:hint="eastAsia"/>
          <w:lang w:bidi="ar"/>
        </w:rPr>
        <w:t>.需进一步提升节地生态安葬比例</w:t>
      </w:r>
    </w:p>
    <w:p>
      <w:pPr>
        <w:ind w:firstLine="600"/>
        <w:rPr>
          <w:lang w:bidi="ar"/>
        </w:rPr>
      </w:pPr>
      <w:r>
        <w:rPr>
          <w:rFonts w:hint="eastAsia"/>
          <w:lang w:bidi="ar"/>
        </w:rPr>
        <w:t>现状骨灰安置形式仍以传统墓葬为主，群众对生态安葬的接受度不高。应着力加强公益性公墓设施建设，提供树葬、撒散、骨灰存放、小型墓等多样化节地生态安葬方式，进一步提高比例。</w:t>
      </w:r>
    </w:p>
    <w:p>
      <w:pPr>
        <w:ind w:firstLine="600"/>
        <w:rPr>
          <w:lang w:bidi="ar"/>
        </w:rPr>
      </w:pPr>
    </w:p>
    <w:p>
      <w:pPr>
        <w:ind w:firstLine="600"/>
        <w:rPr>
          <w:lang w:bidi="ar"/>
        </w:rPr>
        <w:sectPr>
          <w:pgSz w:w="11906" w:h="16838"/>
          <w:pgMar w:top="1440" w:right="1800" w:bottom="1440" w:left="1800" w:header="851" w:footer="992" w:gutter="0"/>
          <w:cols w:space="720" w:num="1"/>
          <w:docGrid w:type="lines" w:linePitch="422" w:charSpace="0"/>
        </w:sectPr>
      </w:pPr>
    </w:p>
    <w:p>
      <w:pPr>
        <w:pStyle w:val="3"/>
        <w:spacing w:after="422"/>
        <w:ind w:left="310" w:right="310"/>
      </w:pPr>
      <w:bookmarkStart w:id="54" w:name="_Toc206512691"/>
      <w:bookmarkStart w:id="55" w:name="_Toc219817779"/>
      <w:r>
        <w:t>第二章</w:t>
      </w:r>
      <w:r>
        <w:rPr>
          <w:rFonts w:hint="eastAsia"/>
        </w:rPr>
        <w:t xml:space="preserve"> 规划要求</w:t>
      </w:r>
      <w:bookmarkEnd w:id="54"/>
      <w:bookmarkEnd w:id="55"/>
    </w:p>
    <w:p>
      <w:pPr>
        <w:pStyle w:val="5"/>
        <w:spacing w:before="211" w:after="211"/>
        <w:ind w:left="310" w:right="300"/>
      </w:pPr>
      <w:bookmarkStart w:id="56" w:name="_Toc217988745"/>
      <w:bookmarkStart w:id="57" w:name="_Toc219817781"/>
      <w:bookmarkStart w:id="58" w:name="_Toc206512693"/>
      <w:r>
        <w:rPr>
          <w:rFonts w:hint="eastAsia"/>
        </w:rPr>
        <w:t>选址要求</w:t>
      </w:r>
      <w:bookmarkEnd w:id="56"/>
      <w:bookmarkEnd w:id="57"/>
      <w:bookmarkEnd w:id="58"/>
    </w:p>
    <w:p>
      <w:pPr>
        <w:ind w:firstLine="600"/>
        <w:rPr>
          <w:lang w:bidi="ar"/>
        </w:rPr>
      </w:pPr>
      <w:r>
        <w:rPr>
          <w:rFonts w:hint="eastAsia"/>
          <w:lang w:bidi="ar"/>
        </w:rPr>
        <w:t>针对公益性公墓的选址，多项规划、条例、政策文件均明确了严守“红线”的相关要求。</w:t>
      </w:r>
    </w:p>
    <w:p>
      <w:pPr>
        <w:ind w:firstLine="600"/>
        <w:rPr>
          <w:lang w:bidi="ar"/>
        </w:rPr>
      </w:pPr>
      <w:r>
        <w:rPr>
          <w:rFonts w:hint="eastAsia"/>
          <w:lang w:bidi="ar"/>
        </w:rPr>
        <w:t>《殡葬管理条例》第二十二条规定：“禁止在下列地区建造坟墓：（一）耕地、林地；（二）城市公园、风景名胜区和文物保护区；（三）水库以及河流堤坝附近和水源保护区；（四）铁路、公路主干线两侧。前款规定区域内现有的坟墓，除受国家保护的具有历史、艺术、科学价值的墓地予以保留外，应当采取妥善方式迁移或者深埋，不留坟头；保障当地居民基本安葬需求且无法避让前款规定区域的公墓和农村公益性墓地，可依法纳入国土空间规划，不在前款规定的情形之内。”</w:t>
      </w:r>
    </w:p>
    <w:p>
      <w:pPr>
        <w:ind w:firstLine="600"/>
        <w:rPr>
          <w:lang w:bidi="ar"/>
        </w:rPr>
      </w:pPr>
      <w:r>
        <w:rPr>
          <w:rFonts w:hint="eastAsia"/>
          <w:lang w:bidi="ar"/>
        </w:rPr>
        <w:t>《北京市殡葬管理条例》第十九条规定：“建立公墓应当利用荒山瘠地，不得占用耕地。禁止在文物保护区、水源保护区、自然保护区、风景名胜区和河湖（含水库）、铁路、公路隔离带内，以及城市规划的特殊地区建立公墓。禁止在公墓以外修墓立碑。”</w:t>
      </w:r>
      <w:r>
        <w:rPr>
          <w:lang w:bidi="ar"/>
        </w:rPr>
        <w:t xml:space="preserve"> </w:t>
      </w:r>
    </w:p>
    <w:p>
      <w:pPr>
        <w:ind w:firstLine="600"/>
        <w:rPr>
          <w:lang w:bidi="ar"/>
        </w:rPr>
      </w:pPr>
      <w:r>
        <w:rPr>
          <w:rFonts w:hint="eastAsia"/>
          <w:lang w:bidi="ar"/>
        </w:rPr>
        <w:t>《北京市殡葬设施专项规划（2021年—2035年）》提出：“严格落实两线三区、饮用水水源保护区、风景名胜区、自然保护区、森林公园、文物保护单位等禁限建要素管控要求，按照相关法律法规要求，合理确定用地范围。殡葬设施选址应以满足相关法律法规和技术标准规定的禁止性要求为前提，统筹考虑人口分布、功能布局、交通区位、文化心理等多方面因素，合理确定用地位置与服务范围。”</w:t>
      </w:r>
      <w:r>
        <w:rPr>
          <w:lang w:bidi="ar"/>
        </w:rPr>
        <w:t xml:space="preserve"> </w:t>
      </w:r>
    </w:p>
    <w:p>
      <w:pPr>
        <w:ind w:firstLine="600"/>
        <w:rPr>
          <w:lang w:bidi="ar"/>
        </w:rPr>
      </w:pPr>
      <w:r>
        <w:rPr>
          <w:rFonts w:hint="eastAsia"/>
          <w:lang w:bidi="ar"/>
        </w:rPr>
        <w:t>禁止建设要素主要包括：生态保护红线、永久基本农田、饮用水水源一级保护区、风景名胜区一级保护区、自然保护区核心区和缓冲区、森林公园、文物保护单位保护范围及Ⅰ类建设控制地带等。</w:t>
      </w:r>
    </w:p>
    <w:p>
      <w:pPr>
        <w:ind w:firstLine="600"/>
        <w:rPr>
          <w:lang w:bidi="ar"/>
        </w:rPr>
      </w:pPr>
      <w:r>
        <w:rPr>
          <w:rFonts w:hint="eastAsia"/>
          <w:lang w:bidi="ar"/>
        </w:rPr>
        <w:t>限制建设要素主要包括：生态控制区、饮用水水源二级保护区、风景名胜区二级和三级保护区、自然保护区实验区、文物保护单位Ⅱ至Ⅴ类建设控制地带等。</w:t>
      </w:r>
    </w:p>
    <w:p>
      <w:pPr>
        <w:pStyle w:val="5"/>
        <w:spacing w:before="211" w:after="211"/>
        <w:ind w:left="310" w:right="300"/>
      </w:pPr>
      <w:bookmarkStart w:id="59" w:name="_Toc219817782"/>
      <w:bookmarkStart w:id="60" w:name="_Toc206512694"/>
      <w:bookmarkStart w:id="61" w:name="_Toc217988746"/>
      <w:r>
        <w:rPr>
          <w:rFonts w:hint="eastAsia"/>
        </w:rPr>
        <w:t>建设标准</w:t>
      </w:r>
      <w:bookmarkEnd w:id="59"/>
      <w:bookmarkEnd w:id="60"/>
      <w:bookmarkEnd w:id="61"/>
    </w:p>
    <w:p>
      <w:pPr>
        <w:ind w:firstLine="600"/>
        <w:rPr>
          <w:szCs w:val="30"/>
          <w:lang w:bidi="ar"/>
        </w:rPr>
      </w:pPr>
      <w:r>
        <w:rPr>
          <w:rFonts w:hint="eastAsia"/>
          <w:szCs w:val="30"/>
          <w:lang w:bidi="ar"/>
        </w:rPr>
        <w:t>依据市级专项规划及《城市公益性公墓建设标准》，新建公益性公墓集中墓区比例不高于65%，绿化覆盖率不低于50%，绿地率不低于30%，配套设施用地比例不低于20%。</w:t>
      </w:r>
    </w:p>
    <w:p>
      <w:pPr>
        <w:ind w:firstLine="600"/>
        <w:rPr>
          <w:szCs w:val="30"/>
          <w:lang w:bidi="ar"/>
        </w:rPr>
      </w:pPr>
      <w:r>
        <w:rPr>
          <w:rFonts w:hint="eastAsia"/>
          <w:szCs w:val="30"/>
          <w:lang w:bidi="ar"/>
        </w:rPr>
        <w:t>节地生态葬比例。公益性公墓应充分发挥引导葬式改革、推广节地生态安葬的示范带动作用，进一步控制传统墓穴葬比例。公益性公墓中的墓葬数量不应高于骨灰安置总量的40%，节地型墓葬、立体葬、生态葬比例按照4:4:2进行引导。</w:t>
      </w:r>
    </w:p>
    <w:p>
      <w:pPr>
        <w:ind w:firstLine="600"/>
        <w:rPr>
          <w:szCs w:val="30"/>
          <w:lang w:bidi="ar"/>
        </w:rPr>
      </w:pPr>
      <w:r>
        <w:rPr>
          <w:rFonts w:hint="eastAsia"/>
          <w:szCs w:val="30"/>
          <w:lang w:bidi="ar"/>
        </w:rPr>
        <w:t>墓位建设标准。公益性骨灰堂格位单位建筑面积不超过</w:t>
      </w:r>
      <w:r>
        <w:rPr>
          <w:szCs w:val="30"/>
          <w:lang w:bidi="ar"/>
        </w:rPr>
        <w:t>0.25平方米，体现适用、经济、美观。公益性公墓推行墓位小型化、墓碑平卧式、墓区园林化，墓区绿化覆盖率不低于50%；安葬骨灰的单体墓位、合葬墓位的占地面积分别不超过0.5平方米、0.8平方米</w:t>
      </w:r>
      <w:r>
        <w:rPr>
          <w:rFonts w:hint="eastAsia"/>
          <w:szCs w:val="30"/>
          <w:lang w:bidi="ar"/>
        </w:rPr>
        <w:t>；</w:t>
      </w:r>
      <w:r>
        <w:rPr>
          <w:szCs w:val="30"/>
          <w:lang w:bidi="ar"/>
        </w:rPr>
        <w:t>安葬遗体的单体墓位、合葬墓位的占地面积不超过</w:t>
      </w:r>
      <w:r>
        <w:rPr>
          <w:rFonts w:hint="eastAsia"/>
          <w:szCs w:val="30"/>
          <w:lang w:bidi="ar"/>
        </w:rPr>
        <w:t>4平方米、6平方米；遗体墓除放置墓碑的基座外，墓位占地面积不得硬化。</w:t>
      </w:r>
    </w:p>
    <w:p>
      <w:pPr>
        <w:ind w:firstLine="600"/>
        <w:rPr>
          <w:lang w:bidi="ar"/>
        </w:rPr>
      </w:pPr>
    </w:p>
    <w:p>
      <w:pPr>
        <w:pStyle w:val="3"/>
        <w:spacing w:after="422"/>
        <w:ind w:left="310" w:right="310"/>
      </w:pPr>
      <w:bookmarkStart w:id="62" w:name="_Toc206512696"/>
      <w:bookmarkStart w:id="63" w:name="_Toc219817783"/>
      <w:r>
        <w:t>第</w:t>
      </w:r>
      <w:r>
        <w:rPr>
          <w:rFonts w:hint="eastAsia"/>
        </w:rPr>
        <w:t>三</w:t>
      </w:r>
      <w:r>
        <w:t>章</w:t>
      </w:r>
      <w:r>
        <w:rPr>
          <w:rFonts w:hint="eastAsia"/>
        </w:rPr>
        <w:t xml:space="preserve"> </w:t>
      </w:r>
      <w:r>
        <w:t>规划目标</w:t>
      </w:r>
      <w:bookmarkEnd w:id="62"/>
      <w:bookmarkEnd w:id="63"/>
    </w:p>
    <w:p>
      <w:pPr>
        <w:ind w:firstLine="600"/>
      </w:pPr>
      <w:r>
        <w:rPr>
          <w:lang w:bidi="ar"/>
        </w:rPr>
        <w:t>贯彻殡葬改革方针，落实</w:t>
      </w:r>
      <w:r>
        <w:rPr>
          <w:rFonts w:hint="eastAsia"/>
          <w:lang w:bidi="ar"/>
        </w:rPr>
        <w:t>总体规划、分区规划</w:t>
      </w:r>
      <w:r>
        <w:rPr>
          <w:lang w:bidi="ar"/>
        </w:rPr>
        <w:t>要求，明确全</w:t>
      </w:r>
      <w:r>
        <w:rPr>
          <w:rFonts w:hint="eastAsia"/>
          <w:lang w:bidi="ar"/>
        </w:rPr>
        <w:t>区</w:t>
      </w:r>
      <w:r>
        <w:rPr>
          <w:lang w:bidi="ar"/>
        </w:rPr>
        <w:t>殡葬设施建设目标，不断提高殡葬设施建设水平，满足</w:t>
      </w:r>
      <w:r>
        <w:rPr>
          <w:rFonts w:hint="eastAsia"/>
          <w:lang w:bidi="ar"/>
        </w:rPr>
        <w:t>村</w:t>
      </w:r>
      <w:r>
        <w:rPr>
          <w:lang w:bidi="ar"/>
        </w:rPr>
        <w:t>（居）民多层次、多元化的殡葬服务需求，维护逝者尊严和公共利益，促进社会主义精神文明和生态文明建设，保障</w:t>
      </w:r>
      <w:r>
        <w:rPr>
          <w:rFonts w:hint="eastAsia"/>
          <w:lang w:bidi="ar"/>
        </w:rPr>
        <w:t>丰台区</w:t>
      </w:r>
      <w:r>
        <w:rPr>
          <w:lang w:bidi="ar"/>
        </w:rPr>
        <w:t>殡葬事业健康、可持续发展。</w:t>
      </w:r>
    </w:p>
    <w:p>
      <w:pPr>
        <w:pStyle w:val="5"/>
        <w:spacing w:before="211" w:after="211"/>
        <w:ind w:left="310" w:right="300"/>
      </w:pPr>
      <w:bookmarkStart w:id="64" w:name="_Toc217988748"/>
      <w:bookmarkStart w:id="65" w:name="_Toc219817784"/>
      <w:bookmarkStart w:id="66" w:name="_Toc206512697"/>
      <w:r>
        <w:t>规划</w:t>
      </w:r>
      <w:bookmarkEnd w:id="64"/>
      <w:bookmarkEnd w:id="65"/>
      <w:bookmarkEnd w:id="66"/>
      <w:r>
        <w:rPr>
          <w:rFonts w:hint="eastAsia"/>
        </w:rPr>
        <w:t>目标</w:t>
      </w:r>
    </w:p>
    <w:p>
      <w:pPr>
        <w:ind w:firstLine="600"/>
      </w:pPr>
      <w:r>
        <w:rPr>
          <w:rFonts w:hint="eastAsia"/>
        </w:rPr>
        <w:t>至2035年，</w:t>
      </w:r>
      <w:r>
        <w:rPr>
          <w:rFonts w:hint="eastAsia"/>
          <w:lang w:bidi="ar"/>
        </w:rPr>
        <w:t>全面建立殡葬设施体系、服务体系、制度体系、治理体系和文化体系，更好地满足人民群众逝有所安的需求，文明节俭、节地生态安葬、绿色低碳祭扫新风尚逐步树立。</w:t>
      </w:r>
    </w:p>
    <w:p>
      <w:pPr>
        <w:ind w:firstLine="600"/>
        <w:rPr>
          <w:lang w:bidi="ar"/>
        </w:rPr>
      </w:pPr>
      <w:r>
        <w:rPr>
          <w:rFonts w:hint="eastAsia"/>
          <w:lang w:bidi="ar"/>
        </w:rPr>
        <w:t>——衔接各级各类国土空间规划，将殡葬设施用地纳入整体空间布局，建立起覆盖全区的“区-镇-村”公益性公墓体系。坚持高起点规划、高标准建设，强化分类指导与区域平衡。</w:t>
      </w:r>
    </w:p>
    <w:p>
      <w:pPr>
        <w:ind w:firstLine="600"/>
      </w:pPr>
      <w:r>
        <w:rPr>
          <w:rFonts w:hint="eastAsia"/>
          <w:lang w:bidi="ar"/>
        </w:rPr>
        <w:t>——进一步形成全区覆盖、均衡优质的公益性公墓体系，全面保障村（居）民多层次、多元化安葬服务需求。</w:t>
      </w:r>
    </w:p>
    <w:p>
      <w:pPr>
        <w:ind w:firstLine="600"/>
        <w:rPr>
          <w:lang w:bidi="ar"/>
        </w:rPr>
      </w:pPr>
      <w:r>
        <w:rPr>
          <w:rFonts w:hint="eastAsia"/>
          <w:lang w:bidi="ar"/>
        </w:rPr>
        <w:t>——经营性公墓全面实现园林化建设，服务水平进一步提高，提供多样化殡葬服务。</w:t>
      </w:r>
    </w:p>
    <w:p>
      <w:pPr>
        <w:ind w:firstLine="600"/>
        <w:rPr>
          <w:lang w:bidi="ar"/>
        </w:rPr>
      </w:pPr>
      <w:r>
        <w:rPr>
          <w:rFonts w:hint="eastAsia"/>
          <w:lang w:bidi="ar"/>
        </w:rPr>
        <w:t>——结合殡葬改革方向，兼顾设施规划期内建设与2035年后的长远需求。明确实施时序，分期推进建设，实现供需动态平衡，避免资源闲置浪费。建立健全规范化管理体系，从选址、建设到运营全程把控，确保设施可持续发挥服务效能。</w:t>
      </w:r>
    </w:p>
    <w:p>
      <w:pPr>
        <w:ind w:firstLine="600"/>
      </w:pPr>
    </w:p>
    <w:p>
      <w:pPr>
        <w:pStyle w:val="5"/>
        <w:spacing w:before="211" w:after="211"/>
        <w:ind w:left="310" w:right="300"/>
      </w:pPr>
      <w:bookmarkStart w:id="67" w:name="_Toc219817786"/>
      <w:bookmarkStart w:id="68" w:name="_Toc217988750"/>
      <w:bookmarkStart w:id="69" w:name="_Toc206512700"/>
      <w:r>
        <w:rPr>
          <w:rFonts w:hint="eastAsia"/>
        </w:rPr>
        <w:t>指标与标准</w:t>
      </w:r>
      <w:bookmarkEnd w:id="67"/>
      <w:bookmarkEnd w:id="68"/>
      <w:bookmarkEnd w:id="69"/>
    </w:p>
    <w:p>
      <w:pPr>
        <w:ind w:firstLine="600"/>
      </w:pPr>
      <w:r>
        <w:rPr>
          <w:lang w:bidi="ar"/>
        </w:rPr>
        <w:t>本条规定的各项标准以现行法规标准和政策文件为基础制定。如后续相关法规标准和政策文件调整后出现与本节标准矛盾的情况，按照从严原则执行。</w:t>
      </w:r>
    </w:p>
    <w:p>
      <w:pPr>
        <w:ind w:firstLine="600"/>
      </w:pPr>
      <w:r>
        <w:rPr>
          <w:rFonts w:ascii="Times New Roman" w:hAnsi="Times New Roman"/>
          <w:lang w:bidi="ar"/>
        </w:rPr>
        <w:t>1.</w:t>
      </w:r>
      <w:r>
        <w:rPr>
          <w:rFonts w:hint="eastAsia"/>
          <w:lang w:bidi="ar"/>
        </w:rPr>
        <w:t>节地生态葬比例</w:t>
      </w:r>
    </w:p>
    <w:p>
      <w:pPr>
        <w:ind w:firstLine="600"/>
      </w:pPr>
      <w:r>
        <w:rPr>
          <w:rFonts w:hint="eastAsia"/>
          <w:lang w:bidi="ar"/>
        </w:rPr>
        <w:t>大力推行节地生态安葬。推广不占或少占土地、少耗资源、少使用不可降解材料的节地生态安葬方式。严格控制墓位建设标准，不断提高节地生态安葬比例，引导从依赖资源消耗，逐步向绿色生态可持续发展转型。至</w:t>
      </w:r>
      <w:r>
        <w:rPr>
          <w:rFonts w:ascii="Times New Roman" w:hAnsi="Times New Roman"/>
          <w:lang w:bidi="ar"/>
        </w:rPr>
        <w:t>2035</w:t>
      </w:r>
      <w:r>
        <w:rPr>
          <w:rFonts w:hint="eastAsia"/>
          <w:lang w:bidi="ar"/>
        </w:rPr>
        <w:t>年，全区新增骨灰实现</w:t>
      </w:r>
      <w:r>
        <w:rPr>
          <w:rFonts w:ascii="Times New Roman" w:hAnsi="Times New Roman"/>
          <w:lang w:bidi="ar"/>
        </w:rPr>
        <w:t>100%</w:t>
      </w:r>
      <w:r>
        <w:rPr>
          <w:rFonts w:hint="eastAsia"/>
          <w:lang w:bidi="ar"/>
        </w:rPr>
        <w:t>节地生态化安置，包括骨灰格位、草坪葬、树葬、海葬、节地墓位等。</w:t>
      </w:r>
    </w:p>
    <w:p>
      <w:pPr>
        <w:ind w:firstLine="600"/>
      </w:pPr>
      <w:r>
        <w:rPr>
          <w:rFonts w:hint="eastAsia"/>
          <w:lang w:bidi="ar"/>
        </w:rPr>
        <w:t>公益性公墓应充分发挥引导葬式改革、推广节地生态安葬的示范带动作用，进一步控制传统墓穴葬比例。公益性公墓中的墓葬数量不应高于骨灰安置总量的</w:t>
      </w:r>
      <w:r>
        <w:rPr>
          <w:rFonts w:ascii="Times New Roman" w:hAnsi="Times New Roman"/>
          <w:lang w:bidi="ar"/>
        </w:rPr>
        <w:t>40%</w:t>
      </w:r>
      <w:r>
        <w:rPr>
          <w:rFonts w:hint="eastAsia"/>
          <w:lang w:bidi="ar"/>
        </w:rPr>
        <w:t>，节地型墓葬、</w:t>
      </w:r>
      <w:r>
        <w:rPr>
          <w:lang w:bidi="ar"/>
        </w:rPr>
        <w:t>立体葬、生态葬比例按照</w:t>
      </w:r>
      <w:r>
        <w:rPr>
          <w:rFonts w:ascii="Times New Roman" w:hAnsi="Times New Roman"/>
          <w:lang w:bidi="ar"/>
        </w:rPr>
        <w:t>4:4:2</w:t>
      </w:r>
      <w:r>
        <w:rPr>
          <w:rFonts w:hint="eastAsia"/>
          <w:lang w:bidi="ar"/>
        </w:rPr>
        <w:t>进行引导。</w:t>
      </w:r>
    </w:p>
    <w:p>
      <w:pPr>
        <w:ind w:firstLine="600"/>
      </w:pPr>
      <w:r>
        <w:rPr>
          <w:rFonts w:ascii="Times New Roman" w:hAnsi="Times New Roman"/>
          <w:lang w:bidi="ar"/>
        </w:rPr>
        <w:t>2.</w:t>
      </w:r>
      <w:r>
        <w:rPr>
          <w:rFonts w:hint="eastAsia"/>
          <w:lang w:bidi="ar"/>
        </w:rPr>
        <w:t>墓位建设标准</w:t>
      </w:r>
    </w:p>
    <w:p>
      <w:pPr>
        <w:ind w:firstLine="600"/>
        <w:rPr>
          <w:lang w:bidi="ar"/>
        </w:rPr>
      </w:pPr>
      <w:r>
        <w:rPr>
          <w:rFonts w:hint="eastAsia"/>
          <w:lang w:bidi="ar"/>
        </w:rPr>
        <w:t>公益性骨灰堂格位单位建筑面积不超过</w:t>
      </w:r>
      <w:r>
        <w:rPr>
          <w:lang w:bidi="ar"/>
        </w:rPr>
        <w:t>0.25平方米，体现适用、经济、美观。公益性公墓推行墓位小型化、墓碑平卧式、墓区园林化，墓区绿化覆盖率不低于50%；安葬骨灰的单体墓位、合葬墓位的占地面积分别不超过0.5平方米、0.8平方米；安葬遗体的单体墓位、合葬墓位的占地面积不超过4平方米、6平方米；遗体墓除放置墓碑的基座外，墓位占地面积不得硬化。</w:t>
      </w:r>
    </w:p>
    <w:p>
      <w:pPr>
        <w:ind w:firstLine="600"/>
      </w:pPr>
      <w:r>
        <w:rPr>
          <w:rFonts w:ascii="Times New Roman" w:hAnsi="Times New Roman"/>
          <w:lang w:bidi="ar"/>
        </w:rPr>
        <w:t>3.</w:t>
      </w:r>
      <w:r>
        <w:rPr>
          <w:rFonts w:hint="eastAsia"/>
          <w:lang w:bidi="ar"/>
        </w:rPr>
        <w:t>用地比例结构</w:t>
      </w:r>
    </w:p>
    <w:p>
      <w:pPr>
        <w:ind w:firstLine="600"/>
      </w:pPr>
      <w:r>
        <w:rPr>
          <w:rFonts w:hint="eastAsia"/>
          <w:lang w:bidi="ar"/>
        </w:rPr>
        <w:t>推广人文化、生态化墓园建设，提高公墓服务质量、环境品质和绿化水平，适度控制集中墓区比例，保障配套设施用地和绿地规模。至</w:t>
      </w:r>
      <w:r>
        <w:rPr>
          <w:rFonts w:ascii="Times New Roman" w:hAnsi="Times New Roman"/>
          <w:lang w:bidi="ar"/>
        </w:rPr>
        <w:t>2035</w:t>
      </w:r>
      <w:r>
        <w:rPr>
          <w:rFonts w:hint="eastAsia"/>
          <w:lang w:bidi="ar"/>
        </w:rPr>
        <w:t>年，公墓配套设施用地比例提高到</w:t>
      </w:r>
      <w:r>
        <w:rPr>
          <w:rFonts w:ascii="Times New Roman" w:hAnsi="Times New Roman"/>
          <w:lang w:bidi="ar"/>
        </w:rPr>
        <w:t>20%</w:t>
      </w:r>
      <w:r>
        <w:rPr>
          <w:rFonts w:hint="eastAsia"/>
          <w:lang w:bidi="ar"/>
        </w:rPr>
        <w:t>左右，总体绿化覆盖率提高到</w:t>
      </w:r>
      <w:r>
        <w:rPr>
          <w:rFonts w:ascii="Times New Roman" w:hAnsi="Times New Roman"/>
          <w:lang w:bidi="ar"/>
        </w:rPr>
        <w:t>50%</w:t>
      </w:r>
      <w:r>
        <w:rPr>
          <w:rFonts w:hint="eastAsia"/>
          <w:lang w:bidi="ar"/>
        </w:rPr>
        <w:t>以上。</w:t>
      </w:r>
    </w:p>
    <w:p>
      <w:pPr>
        <w:ind w:firstLine="600"/>
      </w:pPr>
      <w:r>
        <w:rPr>
          <w:lang w:bidi="ar"/>
        </w:rPr>
        <w:t>配套设施用地包括营业和管理用房用地、卫生间等配套服务设施用地以及停车场、广场等用地，不含集中墓区和集中绿地。</w:t>
      </w:r>
    </w:p>
    <w:p>
      <w:pPr>
        <w:ind w:firstLine="600"/>
      </w:pPr>
      <w:r>
        <w:rPr>
          <w:lang w:bidi="ar"/>
        </w:rPr>
        <w:t>绿化覆盖率指公墓用地范围内植物的垂直投影面积占公墓用地总面积的百分比。</w:t>
      </w:r>
    </w:p>
    <w:p>
      <w:pPr>
        <w:ind w:firstLine="600"/>
        <w:rPr>
          <w:lang w:bidi="ar"/>
        </w:rPr>
      </w:pPr>
      <w:r>
        <w:rPr>
          <w:rFonts w:hint="eastAsia"/>
          <w:lang w:bidi="ar"/>
        </w:rPr>
        <w:t>加强保留和新建设施的分类引导，促进土地资源的循环利用，不断提高环境品质。保留公墓加强景观化改造，结合到期墓位的更新改造，逐步提高绿化和配套服务水平。原则上，公益性公墓的集中墓区比例不高于</w:t>
      </w:r>
      <w:r>
        <w:rPr>
          <w:rFonts w:ascii="Times New Roman" w:hAnsi="Times New Roman"/>
          <w:lang w:bidi="ar"/>
        </w:rPr>
        <w:t>75%</w:t>
      </w:r>
      <w:r>
        <w:rPr>
          <w:rFonts w:hint="eastAsia"/>
          <w:lang w:bidi="ar"/>
        </w:rPr>
        <w:t>，绿化覆盖率不低于</w:t>
      </w:r>
      <w:r>
        <w:rPr>
          <w:rFonts w:ascii="Times New Roman" w:hAnsi="Times New Roman"/>
          <w:lang w:bidi="ar"/>
        </w:rPr>
        <w:t>30%</w:t>
      </w:r>
      <w:r>
        <w:rPr>
          <w:rFonts w:hint="eastAsia"/>
          <w:lang w:bidi="ar"/>
        </w:rPr>
        <w:t>，绿地率不低于</w:t>
      </w:r>
      <w:r>
        <w:rPr>
          <w:rFonts w:ascii="Times New Roman" w:hAnsi="Times New Roman"/>
          <w:lang w:bidi="ar"/>
        </w:rPr>
        <w:t>15%</w:t>
      </w:r>
      <w:r>
        <w:rPr>
          <w:rFonts w:hint="eastAsia"/>
          <w:lang w:bidi="ar"/>
        </w:rPr>
        <w:t>，配套设施用地比例不低于</w:t>
      </w:r>
      <w:r>
        <w:rPr>
          <w:rFonts w:ascii="Times New Roman" w:hAnsi="Times New Roman"/>
          <w:lang w:bidi="ar"/>
        </w:rPr>
        <w:t>15%</w:t>
      </w:r>
      <w:r>
        <w:rPr>
          <w:rFonts w:hint="eastAsia"/>
          <w:lang w:bidi="ar"/>
        </w:rPr>
        <w:t>。</w:t>
      </w:r>
      <w:bookmarkStart w:id="70" w:name="_Hlk214727028"/>
      <w:r>
        <w:rPr>
          <w:rFonts w:hint="eastAsia"/>
          <w:lang w:bidi="ar"/>
        </w:rPr>
        <w:t>新建公益性公墓集中墓区比例不高于</w:t>
      </w:r>
      <w:r>
        <w:rPr>
          <w:rFonts w:ascii="Times New Roman" w:hAnsi="Times New Roman"/>
          <w:lang w:bidi="ar"/>
        </w:rPr>
        <w:t>65%</w:t>
      </w:r>
      <w:r>
        <w:rPr>
          <w:rFonts w:hint="eastAsia"/>
          <w:lang w:bidi="ar"/>
        </w:rPr>
        <w:t>，绿化覆盖率不低于</w:t>
      </w:r>
      <w:r>
        <w:rPr>
          <w:rFonts w:ascii="Times New Roman" w:hAnsi="Times New Roman"/>
          <w:lang w:bidi="ar"/>
        </w:rPr>
        <w:t>50%</w:t>
      </w:r>
      <w:r>
        <w:rPr>
          <w:rFonts w:hint="eastAsia"/>
          <w:lang w:bidi="ar"/>
        </w:rPr>
        <w:t>，绿地率不低于</w:t>
      </w:r>
      <w:r>
        <w:rPr>
          <w:rFonts w:ascii="Times New Roman" w:hAnsi="Times New Roman"/>
          <w:lang w:bidi="ar"/>
        </w:rPr>
        <w:t>30%</w:t>
      </w:r>
      <w:r>
        <w:rPr>
          <w:rFonts w:hint="eastAsia"/>
          <w:lang w:bidi="ar"/>
        </w:rPr>
        <w:t>，配套设施用地比例不低于</w:t>
      </w:r>
      <w:r>
        <w:rPr>
          <w:rFonts w:ascii="Times New Roman" w:hAnsi="Times New Roman"/>
          <w:lang w:bidi="ar"/>
        </w:rPr>
        <w:t>20%</w:t>
      </w:r>
      <w:r>
        <w:rPr>
          <w:rFonts w:hint="eastAsia"/>
          <w:lang w:bidi="ar"/>
        </w:rPr>
        <w:t>。</w:t>
      </w:r>
      <w:bookmarkEnd w:id="70"/>
    </w:p>
    <w:p>
      <w:pPr>
        <w:ind w:firstLine="600"/>
        <w:rPr>
          <w:lang w:bidi="ar"/>
        </w:rPr>
      </w:pPr>
      <w:r>
        <w:rPr>
          <w:lang w:bidi="ar"/>
        </w:rPr>
        <w:t>4.</w:t>
      </w:r>
      <w:r>
        <w:rPr>
          <w:rFonts w:hint="eastAsia"/>
          <w:lang w:bidi="ar"/>
        </w:rPr>
        <w:t>公益性公墓建筑规模</w:t>
      </w:r>
    </w:p>
    <w:p>
      <w:pPr>
        <w:ind w:firstLine="600"/>
        <w:rPr>
          <w:lang w:bidi="ar"/>
        </w:rPr>
      </w:pPr>
      <w:r>
        <w:rPr>
          <w:rFonts w:hint="eastAsia"/>
          <w:lang w:bidi="ar"/>
        </w:rPr>
        <w:t>公益性公墓业务用房、管理用房及附属用房使用面积宜符合附表</w:t>
      </w:r>
      <w:r>
        <w:rPr>
          <w:lang w:bidi="ar"/>
        </w:rPr>
        <w:t>2</w:t>
      </w:r>
      <w:r>
        <w:rPr>
          <w:rFonts w:hint="eastAsia"/>
          <w:lang w:bidi="ar"/>
        </w:rPr>
        <w:t>的规定。公益性公墓房屋建筑的使用面积系数宜为75%。</w:t>
      </w:r>
    </w:p>
    <w:p>
      <w:pPr>
        <w:ind w:firstLine="0" w:firstLineChars="0"/>
        <w:jc w:val="center"/>
        <w:rPr>
          <w:b/>
          <w:lang w:bidi="ar"/>
        </w:rPr>
      </w:pPr>
      <w:r>
        <w:rPr>
          <w:rFonts w:hint="eastAsia"/>
          <w:b/>
          <w:lang w:bidi="ar"/>
        </w:rPr>
        <w:t>附表</w:t>
      </w:r>
      <w:r>
        <w:rPr>
          <w:b/>
          <w:lang w:bidi="ar"/>
        </w:rPr>
        <w:t>1</w:t>
      </w:r>
      <w:r>
        <w:rPr>
          <w:rFonts w:hint="eastAsia"/>
          <w:b/>
          <w:lang w:bidi="ar"/>
        </w:rPr>
        <w:t>公益性公墓建设规模分类</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ind w:firstLine="0" w:firstLineChars="0"/>
              <w:jc w:val="center"/>
              <w:rPr>
                <w:rFonts w:cstheme="minorBidi"/>
                <w:sz w:val="28"/>
                <w:lang w:bidi="ar"/>
              </w:rPr>
            </w:pPr>
            <w:r>
              <w:rPr>
                <w:rFonts w:hint="eastAsia" w:cstheme="minorBidi"/>
                <w:sz w:val="28"/>
                <w:lang w:bidi="ar"/>
              </w:rPr>
              <w:t>类别</w:t>
            </w:r>
          </w:p>
        </w:tc>
        <w:tc>
          <w:tcPr>
            <w:tcW w:w="2841" w:type="dxa"/>
          </w:tcPr>
          <w:p>
            <w:pPr>
              <w:ind w:firstLine="0" w:firstLineChars="0"/>
              <w:jc w:val="center"/>
              <w:rPr>
                <w:rFonts w:cstheme="minorBidi"/>
                <w:sz w:val="28"/>
                <w:lang w:bidi="ar"/>
              </w:rPr>
            </w:pPr>
            <w:r>
              <w:rPr>
                <w:rFonts w:hint="eastAsia" w:cstheme="minorBidi"/>
                <w:sz w:val="28"/>
                <w:lang w:bidi="ar"/>
              </w:rPr>
              <w:t>骨灰安置总量（个）</w:t>
            </w:r>
          </w:p>
        </w:tc>
        <w:tc>
          <w:tcPr>
            <w:tcW w:w="2841" w:type="dxa"/>
          </w:tcPr>
          <w:p>
            <w:pPr>
              <w:ind w:firstLine="0" w:firstLineChars="0"/>
              <w:jc w:val="center"/>
              <w:rPr>
                <w:rFonts w:cstheme="minorBidi"/>
                <w:sz w:val="28"/>
                <w:lang w:bidi="ar"/>
              </w:rPr>
            </w:pPr>
            <w:r>
              <w:rPr>
                <w:rFonts w:hint="eastAsia" w:cstheme="minorBidi"/>
                <w:sz w:val="28"/>
                <w:lang w:bidi="ar"/>
              </w:rPr>
              <w:t>服务人口（万人）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ind w:firstLine="0" w:firstLineChars="0"/>
              <w:jc w:val="center"/>
              <w:rPr>
                <w:rFonts w:cstheme="minorBidi"/>
                <w:sz w:val="28"/>
                <w:lang w:bidi="ar"/>
              </w:rPr>
            </w:pPr>
            <w:r>
              <w:rPr>
                <w:rFonts w:hint="eastAsia" w:cstheme="minorBidi"/>
                <w:sz w:val="28"/>
                <w:lang w:bidi="ar"/>
              </w:rPr>
              <w:t>一类</w:t>
            </w:r>
          </w:p>
        </w:tc>
        <w:tc>
          <w:tcPr>
            <w:tcW w:w="2841" w:type="dxa"/>
          </w:tcPr>
          <w:p>
            <w:pPr>
              <w:ind w:firstLine="0" w:firstLineChars="0"/>
              <w:jc w:val="center"/>
              <w:rPr>
                <w:rFonts w:cstheme="minorBidi"/>
                <w:sz w:val="28"/>
                <w:lang w:bidi="ar"/>
              </w:rPr>
            </w:pPr>
            <w:r>
              <w:rPr>
                <w:rFonts w:hint="eastAsia" w:cstheme="minorBidi"/>
                <w:sz w:val="28"/>
                <w:lang w:bidi="ar"/>
              </w:rPr>
              <w:t>75001—90000</w:t>
            </w:r>
          </w:p>
        </w:tc>
        <w:tc>
          <w:tcPr>
            <w:tcW w:w="2841" w:type="dxa"/>
          </w:tcPr>
          <w:p>
            <w:pPr>
              <w:ind w:firstLine="0" w:firstLineChars="0"/>
              <w:jc w:val="center"/>
              <w:rPr>
                <w:rFonts w:cstheme="minorBidi"/>
                <w:sz w:val="28"/>
                <w:lang w:bidi="ar"/>
              </w:rPr>
            </w:pPr>
            <w:r>
              <w:rPr>
                <w:rFonts w:hint="eastAsia" w:cstheme="minorBidi"/>
                <w:sz w:val="28"/>
                <w:lang w:bidi="ar"/>
              </w:rPr>
              <w:t>&gt;100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ind w:firstLine="0" w:firstLineChars="0"/>
              <w:jc w:val="center"/>
              <w:rPr>
                <w:rFonts w:cstheme="minorBidi"/>
                <w:sz w:val="28"/>
                <w:lang w:bidi="ar"/>
              </w:rPr>
            </w:pPr>
            <w:r>
              <w:rPr>
                <w:rFonts w:hint="eastAsia" w:cstheme="minorBidi"/>
                <w:sz w:val="28"/>
                <w:lang w:bidi="ar"/>
              </w:rPr>
              <w:t>二类</w:t>
            </w:r>
          </w:p>
        </w:tc>
        <w:tc>
          <w:tcPr>
            <w:tcW w:w="2841" w:type="dxa"/>
          </w:tcPr>
          <w:p>
            <w:pPr>
              <w:ind w:firstLine="0" w:firstLineChars="0"/>
              <w:jc w:val="center"/>
              <w:rPr>
                <w:rFonts w:cstheme="minorBidi"/>
                <w:sz w:val="28"/>
                <w:lang w:bidi="ar"/>
              </w:rPr>
            </w:pPr>
            <w:r>
              <w:rPr>
                <w:rFonts w:hint="eastAsia" w:cstheme="minorBidi"/>
                <w:sz w:val="28"/>
                <w:lang w:bidi="ar"/>
              </w:rPr>
              <w:t>45001—75000</w:t>
            </w:r>
          </w:p>
        </w:tc>
        <w:tc>
          <w:tcPr>
            <w:tcW w:w="2841" w:type="dxa"/>
          </w:tcPr>
          <w:p>
            <w:pPr>
              <w:ind w:firstLine="0" w:firstLineChars="0"/>
              <w:jc w:val="center"/>
              <w:rPr>
                <w:rFonts w:cstheme="minorBidi"/>
                <w:sz w:val="28"/>
                <w:lang w:bidi="ar"/>
              </w:rPr>
            </w:pPr>
            <w:r>
              <w:rPr>
                <w:rFonts w:hint="eastAsia" w:cstheme="minorBidi"/>
                <w:sz w:val="28"/>
                <w:lang w:bidi="ar"/>
              </w:rPr>
              <w:t>60—100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ind w:firstLine="0" w:firstLineChars="0"/>
              <w:jc w:val="center"/>
              <w:rPr>
                <w:rFonts w:cstheme="minorBidi"/>
                <w:sz w:val="28"/>
                <w:lang w:bidi="ar"/>
              </w:rPr>
            </w:pPr>
            <w:r>
              <w:rPr>
                <w:rFonts w:hint="eastAsia" w:cstheme="minorBidi"/>
                <w:sz w:val="28"/>
                <w:lang w:bidi="ar"/>
              </w:rPr>
              <w:t>三类</w:t>
            </w:r>
          </w:p>
        </w:tc>
        <w:tc>
          <w:tcPr>
            <w:tcW w:w="2841" w:type="dxa"/>
          </w:tcPr>
          <w:p>
            <w:pPr>
              <w:ind w:firstLine="0" w:firstLineChars="0"/>
              <w:jc w:val="center"/>
              <w:rPr>
                <w:rFonts w:cstheme="minorBidi"/>
                <w:sz w:val="28"/>
                <w:lang w:bidi="ar"/>
              </w:rPr>
            </w:pPr>
            <w:r>
              <w:rPr>
                <w:rFonts w:hint="eastAsia" w:cstheme="minorBidi"/>
                <w:sz w:val="28"/>
                <w:lang w:bidi="ar"/>
              </w:rPr>
              <w:t>15001—45000</w:t>
            </w:r>
          </w:p>
        </w:tc>
        <w:tc>
          <w:tcPr>
            <w:tcW w:w="2841" w:type="dxa"/>
          </w:tcPr>
          <w:p>
            <w:pPr>
              <w:ind w:firstLine="0" w:firstLineChars="0"/>
              <w:jc w:val="center"/>
              <w:rPr>
                <w:rFonts w:cstheme="minorBidi"/>
                <w:sz w:val="28"/>
                <w:lang w:bidi="ar"/>
              </w:rPr>
            </w:pPr>
            <w:r>
              <w:rPr>
                <w:rFonts w:hint="eastAsia" w:cstheme="minorBidi"/>
                <w:sz w:val="28"/>
                <w:lang w:bidi="ar"/>
              </w:rPr>
              <w:t>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ind w:firstLine="0" w:firstLineChars="0"/>
              <w:jc w:val="center"/>
              <w:rPr>
                <w:rFonts w:cstheme="minorBidi"/>
                <w:sz w:val="28"/>
                <w:lang w:bidi="ar"/>
              </w:rPr>
            </w:pPr>
            <w:r>
              <w:rPr>
                <w:rFonts w:hint="eastAsia" w:cstheme="minorBidi"/>
                <w:sz w:val="28"/>
                <w:lang w:bidi="ar"/>
              </w:rPr>
              <w:t>四类</w:t>
            </w:r>
          </w:p>
        </w:tc>
        <w:tc>
          <w:tcPr>
            <w:tcW w:w="2841" w:type="dxa"/>
          </w:tcPr>
          <w:p>
            <w:pPr>
              <w:ind w:firstLine="0" w:firstLineChars="0"/>
              <w:jc w:val="center"/>
              <w:rPr>
                <w:rFonts w:cstheme="minorBidi"/>
                <w:sz w:val="28"/>
                <w:lang w:bidi="ar"/>
              </w:rPr>
            </w:pPr>
            <w:r>
              <w:rPr>
                <w:rFonts w:hint="eastAsia" w:cstheme="minorBidi"/>
                <w:sz w:val="28"/>
                <w:lang w:bidi="ar"/>
              </w:rPr>
              <w:t>5000—15000</w:t>
            </w:r>
          </w:p>
        </w:tc>
        <w:tc>
          <w:tcPr>
            <w:tcW w:w="2841" w:type="dxa"/>
          </w:tcPr>
          <w:p>
            <w:pPr>
              <w:ind w:firstLine="0" w:firstLineChars="0"/>
              <w:jc w:val="center"/>
              <w:rPr>
                <w:rFonts w:cstheme="minorBidi"/>
                <w:sz w:val="28"/>
                <w:lang w:bidi="ar"/>
              </w:rPr>
            </w:pPr>
            <w:r>
              <w:rPr>
                <w:rFonts w:hint="eastAsia" w:cstheme="minorBidi"/>
                <w:sz w:val="28"/>
                <w:lang w:bidi="ar"/>
              </w:rPr>
              <w:t>&lt;20</w:t>
            </w:r>
          </w:p>
        </w:tc>
      </w:tr>
    </w:tbl>
    <w:p>
      <w:pPr>
        <w:ind w:firstLine="602"/>
        <w:jc w:val="center"/>
        <w:rPr>
          <w:b/>
          <w:lang w:bidi="ar"/>
        </w:rPr>
      </w:pPr>
    </w:p>
    <w:p>
      <w:pPr>
        <w:ind w:firstLine="602"/>
        <w:jc w:val="center"/>
        <w:rPr>
          <w:b/>
          <w:lang w:bidi="ar"/>
        </w:rPr>
      </w:pPr>
    </w:p>
    <w:p>
      <w:pPr>
        <w:ind w:firstLine="602"/>
        <w:jc w:val="center"/>
        <w:rPr>
          <w:b/>
          <w:lang w:bidi="ar"/>
        </w:rPr>
      </w:pPr>
    </w:p>
    <w:p>
      <w:pPr>
        <w:ind w:firstLine="602"/>
        <w:jc w:val="center"/>
        <w:rPr>
          <w:b/>
          <w:lang w:bidi="ar"/>
        </w:rPr>
      </w:pPr>
      <w:r>
        <w:rPr>
          <w:rFonts w:hint="eastAsia"/>
          <w:b/>
          <w:lang w:bidi="ar"/>
        </w:rPr>
        <w:t>附表</w:t>
      </w:r>
      <w:r>
        <w:rPr>
          <w:b/>
          <w:lang w:bidi="ar"/>
        </w:rPr>
        <w:t>2</w:t>
      </w:r>
      <w:r>
        <w:rPr>
          <w:rFonts w:hint="eastAsia"/>
          <w:b/>
          <w:lang w:bidi="ar"/>
        </w:rPr>
        <w:t>业务用房、管理用房及附属用房</w:t>
      </w:r>
    </w:p>
    <w:p>
      <w:pPr>
        <w:ind w:firstLine="602"/>
        <w:jc w:val="center"/>
        <w:rPr>
          <w:b/>
          <w:lang w:bidi="ar"/>
        </w:rPr>
      </w:pPr>
      <w:r>
        <w:rPr>
          <w:rFonts w:hint="eastAsia"/>
          <w:b/>
          <w:lang w:bidi="ar"/>
        </w:rPr>
        <w:t>使用面积（平方米）</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1663"/>
        <w:gridCol w:w="1663"/>
        <w:gridCol w:w="1664"/>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tcPr>
          <w:p>
            <w:pPr>
              <w:ind w:firstLine="0" w:firstLineChars="0"/>
              <w:jc w:val="center"/>
              <w:rPr>
                <w:rFonts w:cstheme="minorBidi"/>
                <w:sz w:val="28"/>
                <w:lang w:bidi="ar"/>
              </w:rPr>
            </w:pPr>
            <w:r>
              <w:rPr>
                <w:rFonts w:hint="eastAsia" w:cstheme="minorBidi"/>
                <w:sz w:val="28"/>
                <w:lang w:bidi="ar"/>
              </w:rPr>
              <w:t>项目构成</w:t>
            </w:r>
          </w:p>
        </w:tc>
        <w:tc>
          <w:tcPr>
            <w:tcW w:w="1663" w:type="dxa"/>
          </w:tcPr>
          <w:p>
            <w:pPr>
              <w:ind w:firstLine="0" w:firstLineChars="0"/>
              <w:jc w:val="center"/>
              <w:rPr>
                <w:rFonts w:cstheme="minorBidi"/>
                <w:sz w:val="28"/>
                <w:lang w:bidi="ar"/>
              </w:rPr>
            </w:pPr>
            <w:r>
              <w:rPr>
                <w:rFonts w:hint="eastAsia" w:cstheme="minorBidi"/>
                <w:sz w:val="28"/>
                <w:lang w:bidi="ar"/>
              </w:rPr>
              <w:t>一类</w:t>
            </w:r>
          </w:p>
        </w:tc>
        <w:tc>
          <w:tcPr>
            <w:tcW w:w="1663" w:type="dxa"/>
          </w:tcPr>
          <w:p>
            <w:pPr>
              <w:ind w:firstLine="0" w:firstLineChars="0"/>
              <w:jc w:val="center"/>
              <w:rPr>
                <w:rFonts w:cstheme="minorBidi"/>
                <w:sz w:val="28"/>
                <w:lang w:bidi="ar"/>
              </w:rPr>
            </w:pPr>
            <w:r>
              <w:rPr>
                <w:rFonts w:hint="eastAsia" w:cstheme="minorBidi"/>
                <w:sz w:val="28"/>
                <w:lang w:bidi="ar"/>
              </w:rPr>
              <w:t>二类</w:t>
            </w:r>
          </w:p>
        </w:tc>
        <w:tc>
          <w:tcPr>
            <w:tcW w:w="1664" w:type="dxa"/>
          </w:tcPr>
          <w:p>
            <w:pPr>
              <w:ind w:firstLine="0" w:firstLineChars="0"/>
              <w:jc w:val="center"/>
              <w:rPr>
                <w:rFonts w:cstheme="minorBidi"/>
                <w:sz w:val="28"/>
                <w:lang w:bidi="ar"/>
              </w:rPr>
            </w:pPr>
            <w:r>
              <w:rPr>
                <w:rFonts w:hint="eastAsia" w:cstheme="minorBidi"/>
                <w:sz w:val="28"/>
                <w:lang w:bidi="ar"/>
              </w:rPr>
              <w:t>三类</w:t>
            </w:r>
          </w:p>
        </w:tc>
        <w:tc>
          <w:tcPr>
            <w:tcW w:w="1664" w:type="dxa"/>
          </w:tcPr>
          <w:p>
            <w:pPr>
              <w:ind w:firstLine="0" w:firstLineChars="0"/>
              <w:jc w:val="center"/>
              <w:rPr>
                <w:rFonts w:cstheme="minorBidi"/>
                <w:sz w:val="28"/>
                <w:lang w:bidi="ar"/>
              </w:rPr>
            </w:pPr>
            <w:r>
              <w:rPr>
                <w:rFonts w:hint="eastAsia" w:cstheme="minorBidi"/>
                <w:sz w:val="28"/>
                <w:lang w:bidi="ar"/>
              </w:rPr>
              <w:t>四类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tcPr>
          <w:p>
            <w:pPr>
              <w:ind w:firstLine="0" w:firstLineChars="0"/>
              <w:jc w:val="center"/>
              <w:rPr>
                <w:rFonts w:cstheme="minorBidi"/>
                <w:sz w:val="28"/>
                <w:lang w:bidi="ar"/>
              </w:rPr>
            </w:pPr>
            <w:r>
              <w:rPr>
                <w:rFonts w:hint="eastAsia" w:cstheme="minorBidi"/>
                <w:sz w:val="28"/>
                <w:lang w:bidi="ar"/>
              </w:rPr>
              <w:t>业务用房</w:t>
            </w:r>
          </w:p>
        </w:tc>
        <w:tc>
          <w:tcPr>
            <w:tcW w:w="1663" w:type="dxa"/>
          </w:tcPr>
          <w:p>
            <w:pPr>
              <w:ind w:firstLine="0" w:firstLineChars="0"/>
              <w:jc w:val="center"/>
              <w:rPr>
                <w:rFonts w:cstheme="minorBidi"/>
                <w:sz w:val="28"/>
                <w:lang w:bidi="ar"/>
              </w:rPr>
            </w:pPr>
            <w:r>
              <w:rPr>
                <w:rFonts w:hint="eastAsia" w:cstheme="minorBidi"/>
                <w:sz w:val="28"/>
                <w:lang w:bidi="ar"/>
              </w:rPr>
              <w:t>700—900</w:t>
            </w:r>
          </w:p>
        </w:tc>
        <w:tc>
          <w:tcPr>
            <w:tcW w:w="1663" w:type="dxa"/>
          </w:tcPr>
          <w:p>
            <w:pPr>
              <w:ind w:firstLine="0" w:firstLineChars="0"/>
              <w:jc w:val="center"/>
              <w:rPr>
                <w:rFonts w:cstheme="minorBidi"/>
                <w:sz w:val="28"/>
                <w:lang w:bidi="ar"/>
              </w:rPr>
            </w:pPr>
            <w:r>
              <w:rPr>
                <w:rFonts w:hint="eastAsia" w:cstheme="minorBidi"/>
                <w:sz w:val="28"/>
                <w:lang w:bidi="ar"/>
              </w:rPr>
              <w:t>500—700</w:t>
            </w:r>
          </w:p>
        </w:tc>
        <w:tc>
          <w:tcPr>
            <w:tcW w:w="1664" w:type="dxa"/>
          </w:tcPr>
          <w:p>
            <w:pPr>
              <w:ind w:firstLine="0" w:firstLineChars="0"/>
              <w:jc w:val="center"/>
              <w:rPr>
                <w:rFonts w:cstheme="minorBidi"/>
                <w:sz w:val="28"/>
                <w:lang w:bidi="ar"/>
              </w:rPr>
            </w:pPr>
            <w:r>
              <w:rPr>
                <w:rFonts w:hint="eastAsia" w:cstheme="minorBidi"/>
                <w:sz w:val="28"/>
                <w:lang w:bidi="ar"/>
              </w:rPr>
              <w:t>300—500</w:t>
            </w:r>
          </w:p>
        </w:tc>
        <w:tc>
          <w:tcPr>
            <w:tcW w:w="1664" w:type="dxa"/>
          </w:tcPr>
          <w:p>
            <w:pPr>
              <w:ind w:firstLine="0" w:firstLineChars="0"/>
              <w:jc w:val="center"/>
              <w:rPr>
                <w:rFonts w:cstheme="minorBidi"/>
                <w:sz w:val="28"/>
                <w:lang w:bidi="ar"/>
              </w:rPr>
            </w:pPr>
            <w:r>
              <w:rPr>
                <w:rFonts w:hint="eastAsia" w:cstheme="minorBidi"/>
                <w:sz w:val="28"/>
                <w:lang w:bidi="ar"/>
              </w:rPr>
              <w:t>200—300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tcPr>
          <w:p>
            <w:pPr>
              <w:ind w:firstLine="0" w:firstLineChars="0"/>
              <w:jc w:val="center"/>
              <w:rPr>
                <w:rFonts w:cstheme="minorBidi"/>
                <w:sz w:val="28"/>
                <w:lang w:bidi="ar"/>
              </w:rPr>
            </w:pPr>
            <w:r>
              <w:rPr>
                <w:rFonts w:hint="eastAsia" w:cstheme="minorBidi"/>
                <w:sz w:val="28"/>
                <w:lang w:bidi="ar"/>
              </w:rPr>
              <w:t>管理用房</w:t>
            </w:r>
          </w:p>
        </w:tc>
        <w:tc>
          <w:tcPr>
            <w:tcW w:w="1663" w:type="dxa"/>
          </w:tcPr>
          <w:p>
            <w:pPr>
              <w:ind w:firstLine="0" w:firstLineChars="0"/>
              <w:jc w:val="center"/>
              <w:rPr>
                <w:rFonts w:cstheme="minorBidi"/>
                <w:sz w:val="28"/>
                <w:lang w:bidi="ar"/>
              </w:rPr>
            </w:pPr>
            <w:r>
              <w:rPr>
                <w:rFonts w:hint="eastAsia" w:cstheme="minorBidi"/>
                <w:sz w:val="28"/>
                <w:lang w:bidi="ar"/>
              </w:rPr>
              <w:t>400—550</w:t>
            </w:r>
          </w:p>
        </w:tc>
        <w:tc>
          <w:tcPr>
            <w:tcW w:w="1663" w:type="dxa"/>
          </w:tcPr>
          <w:p>
            <w:pPr>
              <w:ind w:firstLine="0" w:firstLineChars="0"/>
              <w:jc w:val="center"/>
              <w:rPr>
                <w:rFonts w:cstheme="minorBidi"/>
                <w:sz w:val="28"/>
                <w:lang w:bidi="ar"/>
              </w:rPr>
            </w:pPr>
            <w:r>
              <w:rPr>
                <w:rFonts w:hint="eastAsia" w:cstheme="minorBidi"/>
                <w:sz w:val="28"/>
                <w:lang w:bidi="ar"/>
              </w:rPr>
              <w:t>300—400</w:t>
            </w:r>
          </w:p>
        </w:tc>
        <w:tc>
          <w:tcPr>
            <w:tcW w:w="1664" w:type="dxa"/>
          </w:tcPr>
          <w:p>
            <w:pPr>
              <w:ind w:firstLine="0" w:firstLineChars="0"/>
              <w:jc w:val="center"/>
              <w:rPr>
                <w:rFonts w:cstheme="minorBidi"/>
                <w:sz w:val="28"/>
                <w:lang w:bidi="ar"/>
              </w:rPr>
            </w:pPr>
            <w:r>
              <w:rPr>
                <w:rFonts w:hint="eastAsia" w:cstheme="minorBidi"/>
                <w:sz w:val="28"/>
                <w:lang w:bidi="ar"/>
              </w:rPr>
              <w:t>200—300</w:t>
            </w:r>
          </w:p>
        </w:tc>
        <w:tc>
          <w:tcPr>
            <w:tcW w:w="1664" w:type="dxa"/>
          </w:tcPr>
          <w:p>
            <w:pPr>
              <w:ind w:firstLine="0" w:firstLineChars="0"/>
              <w:jc w:val="center"/>
              <w:rPr>
                <w:rFonts w:cstheme="minorBidi"/>
                <w:sz w:val="28"/>
                <w:lang w:bidi="ar"/>
              </w:rPr>
            </w:pPr>
            <w:r>
              <w:rPr>
                <w:rFonts w:hint="eastAsia" w:cstheme="minorBidi"/>
                <w:sz w:val="28"/>
                <w:lang w:bidi="ar"/>
              </w:rPr>
              <w:t>100—200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tcPr>
          <w:p>
            <w:pPr>
              <w:ind w:firstLine="0" w:firstLineChars="0"/>
              <w:jc w:val="center"/>
              <w:rPr>
                <w:rFonts w:cstheme="minorBidi"/>
                <w:sz w:val="28"/>
                <w:lang w:bidi="ar"/>
              </w:rPr>
            </w:pPr>
            <w:r>
              <w:rPr>
                <w:rFonts w:hint="eastAsia" w:cstheme="minorBidi"/>
                <w:sz w:val="28"/>
                <w:lang w:bidi="ar"/>
              </w:rPr>
              <w:t>附属用房</w:t>
            </w:r>
          </w:p>
        </w:tc>
        <w:tc>
          <w:tcPr>
            <w:tcW w:w="1663" w:type="dxa"/>
          </w:tcPr>
          <w:p>
            <w:pPr>
              <w:ind w:firstLine="0" w:firstLineChars="0"/>
              <w:jc w:val="center"/>
              <w:rPr>
                <w:rFonts w:cstheme="minorBidi"/>
                <w:sz w:val="28"/>
                <w:lang w:bidi="ar"/>
              </w:rPr>
            </w:pPr>
            <w:r>
              <w:rPr>
                <w:rFonts w:hint="eastAsia" w:cstheme="minorBidi"/>
                <w:sz w:val="28"/>
                <w:lang w:bidi="ar"/>
              </w:rPr>
              <w:t>850—1100</w:t>
            </w:r>
          </w:p>
        </w:tc>
        <w:tc>
          <w:tcPr>
            <w:tcW w:w="1663" w:type="dxa"/>
          </w:tcPr>
          <w:p>
            <w:pPr>
              <w:ind w:firstLine="0" w:firstLineChars="0"/>
              <w:jc w:val="center"/>
              <w:rPr>
                <w:rFonts w:cstheme="minorBidi"/>
                <w:sz w:val="28"/>
                <w:lang w:bidi="ar"/>
              </w:rPr>
            </w:pPr>
            <w:r>
              <w:rPr>
                <w:rFonts w:hint="eastAsia" w:cstheme="minorBidi"/>
                <w:sz w:val="28"/>
                <w:lang w:bidi="ar"/>
              </w:rPr>
              <w:t>650—850</w:t>
            </w:r>
          </w:p>
        </w:tc>
        <w:tc>
          <w:tcPr>
            <w:tcW w:w="1664" w:type="dxa"/>
          </w:tcPr>
          <w:p>
            <w:pPr>
              <w:ind w:firstLine="0" w:firstLineChars="0"/>
              <w:jc w:val="center"/>
              <w:rPr>
                <w:rFonts w:cstheme="minorBidi"/>
                <w:sz w:val="28"/>
                <w:lang w:bidi="ar"/>
              </w:rPr>
            </w:pPr>
            <w:r>
              <w:rPr>
                <w:rFonts w:hint="eastAsia" w:cstheme="minorBidi"/>
                <w:sz w:val="28"/>
                <w:lang w:bidi="ar"/>
              </w:rPr>
              <w:t>450—650</w:t>
            </w:r>
          </w:p>
        </w:tc>
        <w:tc>
          <w:tcPr>
            <w:tcW w:w="1664" w:type="dxa"/>
          </w:tcPr>
          <w:p>
            <w:pPr>
              <w:ind w:firstLine="0" w:firstLineChars="0"/>
              <w:jc w:val="center"/>
              <w:rPr>
                <w:rFonts w:cstheme="minorBidi"/>
                <w:sz w:val="28"/>
                <w:lang w:bidi="ar"/>
              </w:rPr>
            </w:pPr>
            <w:r>
              <w:rPr>
                <w:rFonts w:hint="eastAsia" w:cstheme="minorBidi"/>
                <w:sz w:val="28"/>
                <w:lang w:bidi="ar"/>
              </w:rPr>
              <w:t>250—450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5"/>
          </w:tcPr>
          <w:p>
            <w:pPr>
              <w:ind w:firstLine="0" w:firstLineChars="0"/>
              <w:jc w:val="left"/>
              <w:rPr>
                <w:rFonts w:cstheme="minorBidi"/>
                <w:sz w:val="28"/>
                <w:lang w:bidi="ar"/>
              </w:rPr>
            </w:pPr>
            <w:r>
              <w:rPr>
                <w:rFonts w:hint="eastAsia" w:cstheme="minorBidi"/>
                <w:sz w:val="28"/>
                <w:lang w:bidi="ar"/>
              </w:rPr>
              <w:t>注：</w:t>
            </w:r>
            <w:r>
              <w:rPr>
                <w:rFonts w:cstheme="minorBidi"/>
                <w:sz w:val="28"/>
                <w:lang w:bidi="ar"/>
              </w:rPr>
              <w:t>1.骨灰安置总量</w:t>
            </w:r>
            <w:r>
              <w:rPr>
                <w:rFonts w:hint="eastAsia" w:cstheme="minorBidi"/>
                <w:sz w:val="28"/>
                <w:lang w:bidi="ar"/>
              </w:rPr>
              <w:t>接近附表1中同类</w:t>
            </w:r>
            <w:r>
              <w:rPr>
                <w:rFonts w:cstheme="minorBidi"/>
                <w:sz w:val="28"/>
                <w:lang w:bidi="ar"/>
              </w:rPr>
              <w:t>低值的城市公益性公墓，其使用面积指标宜采用</w:t>
            </w:r>
            <w:r>
              <w:rPr>
                <w:rFonts w:hint="eastAsia" w:cstheme="minorBidi"/>
                <w:sz w:val="28"/>
                <w:lang w:bidi="ar"/>
              </w:rPr>
              <w:t>附</w:t>
            </w:r>
            <w:r>
              <w:rPr>
                <w:rFonts w:cstheme="minorBidi"/>
                <w:sz w:val="28"/>
                <w:lang w:bidi="ar"/>
              </w:rPr>
              <w:t>表</w:t>
            </w:r>
            <w:r>
              <w:rPr>
                <w:rFonts w:hint="eastAsia" w:cstheme="minorBidi"/>
                <w:sz w:val="28"/>
                <w:lang w:bidi="ar"/>
              </w:rPr>
              <w:t>2中同类</w:t>
            </w:r>
            <w:r>
              <w:rPr>
                <w:rFonts w:cstheme="minorBidi"/>
                <w:sz w:val="28"/>
                <w:lang w:bidi="ar"/>
              </w:rPr>
              <w:t>指标低值，接近</w:t>
            </w:r>
            <w:r>
              <w:rPr>
                <w:rFonts w:hint="eastAsia" w:cstheme="minorBidi"/>
                <w:sz w:val="28"/>
                <w:lang w:bidi="ar"/>
              </w:rPr>
              <w:t>附表</w:t>
            </w:r>
            <w:r>
              <w:rPr>
                <w:rFonts w:cstheme="minorBidi"/>
                <w:sz w:val="28"/>
                <w:lang w:bidi="ar"/>
              </w:rPr>
              <w:t>1</w:t>
            </w:r>
            <w:r>
              <w:rPr>
                <w:rFonts w:hint="eastAsia" w:cstheme="minorBidi"/>
                <w:sz w:val="28"/>
                <w:lang w:bidi="ar"/>
              </w:rPr>
              <w:t>中</w:t>
            </w:r>
            <w:r>
              <w:rPr>
                <w:rFonts w:cstheme="minorBidi"/>
                <w:sz w:val="28"/>
                <w:lang w:bidi="ar"/>
              </w:rPr>
              <w:t>骨灰安置总量高值的，其使用面积指标宜采用</w:t>
            </w:r>
            <w:r>
              <w:rPr>
                <w:rFonts w:hint="eastAsia" w:cstheme="minorBidi"/>
                <w:sz w:val="28"/>
                <w:lang w:bidi="ar"/>
              </w:rPr>
              <w:t>附</w:t>
            </w:r>
            <w:r>
              <w:rPr>
                <w:rFonts w:cstheme="minorBidi"/>
                <w:sz w:val="28"/>
                <w:lang w:bidi="ar"/>
              </w:rPr>
              <w:t>表2</w:t>
            </w:r>
            <w:r>
              <w:rPr>
                <w:rFonts w:hint="eastAsia" w:cstheme="minorBidi"/>
                <w:sz w:val="28"/>
                <w:lang w:bidi="ar"/>
              </w:rPr>
              <w:t>中同类</w:t>
            </w:r>
            <w:r>
              <w:rPr>
                <w:rFonts w:cstheme="minorBidi"/>
                <w:sz w:val="28"/>
                <w:lang w:bidi="ar"/>
              </w:rPr>
              <w:t>指标高值，中间部分采用插入法确定。</w:t>
            </w:r>
          </w:p>
          <w:p>
            <w:pPr>
              <w:ind w:firstLine="0" w:firstLineChars="0"/>
              <w:jc w:val="left"/>
              <w:rPr>
                <w:rFonts w:cstheme="minorBidi"/>
                <w:sz w:val="28"/>
                <w:lang w:bidi="ar"/>
              </w:rPr>
            </w:pPr>
            <w:r>
              <w:rPr>
                <w:rFonts w:cstheme="minorBidi"/>
                <w:sz w:val="28"/>
                <w:lang w:bidi="ar"/>
              </w:rPr>
              <w:t>2.各地可根据实际需求，在不增加各类用房总面积的情况下，适当调整用房类别和用房面积。</w:t>
            </w:r>
          </w:p>
        </w:tc>
      </w:tr>
    </w:tbl>
    <w:p>
      <w:pPr>
        <w:ind w:firstLine="600"/>
        <w:rPr>
          <w:lang w:bidi="ar"/>
        </w:rPr>
      </w:pPr>
    </w:p>
    <w:p>
      <w:pPr>
        <w:ind w:firstLine="600"/>
      </w:pPr>
    </w:p>
    <w:p>
      <w:pPr>
        <w:ind w:firstLine="600"/>
      </w:pPr>
    </w:p>
    <w:p>
      <w:pPr>
        <w:ind w:firstLine="600"/>
      </w:pPr>
    </w:p>
    <w:p>
      <w:pPr>
        <w:ind w:firstLine="600"/>
      </w:pPr>
    </w:p>
    <w:p>
      <w:pPr>
        <w:ind w:firstLine="600"/>
      </w:pPr>
    </w:p>
    <w:p>
      <w:pPr>
        <w:ind w:firstLine="600"/>
      </w:pPr>
    </w:p>
    <w:p>
      <w:pPr>
        <w:ind w:firstLine="600"/>
      </w:pPr>
    </w:p>
    <w:p>
      <w:pPr>
        <w:ind w:firstLine="192" w:firstLineChars="64"/>
        <w:rPr>
          <w:lang w:bidi="ar"/>
        </w:rPr>
        <w:sectPr>
          <w:pgSz w:w="11906" w:h="16838"/>
          <w:pgMar w:top="1440" w:right="1800" w:bottom="1440" w:left="1800" w:header="851" w:footer="992" w:gutter="0"/>
          <w:cols w:space="720" w:num="1"/>
          <w:docGrid w:type="lines" w:linePitch="422" w:charSpace="0"/>
        </w:sectPr>
      </w:pPr>
    </w:p>
    <w:p>
      <w:pPr>
        <w:pStyle w:val="3"/>
        <w:spacing w:after="422"/>
        <w:ind w:left="310" w:right="310"/>
      </w:pPr>
      <w:bookmarkStart w:id="71" w:name="_Toc206512701"/>
      <w:bookmarkStart w:id="72" w:name="_Toc219817787"/>
      <w:r>
        <w:t>第</w:t>
      </w:r>
      <w:r>
        <w:rPr>
          <w:rFonts w:hint="eastAsia"/>
        </w:rPr>
        <w:t>四</w:t>
      </w:r>
      <w:r>
        <w:t>章</w:t>
      </w:r>
      <w:r>
        <w:rPr>
          <w:rFonts w:hint="eastAsia"/>
        </w:rPr>
        <w:t xml:space="preserve"> </w:t>
      </w:r>
      <w:r>
        <w:t>规划策略</w:t>
      </w:r>
      <w:bookmarkEnd w:id="71"/>
      <w:bookmarkEnd w:id="72"/>
    </w:p>
    <w:p>
      <w:pPr>
        <w:ind w:firstLine="600"/>
      </w:pPr>
      <w:r>
        <w:rPr>
          <w:lang w:bidi="ar"/>
        </w:rPr>
        <w:t>推进公益性殡葬设施建设，通过严格控制总量，优化管理层级，强化时序管控，推动殡葬设施规划建设在</w:t>
      </w:r>
      <w:r>
        <w:rPr>
          <w:rFonts w:hint="eastAsia"/>
          <w:lang w:bidi="ar"/>
        </w:rPr>
        <w:t>公益</w:t>
      </w:r>
      <w:r>
        <w:rPr>
          <w:lang w:bidi="ar"/>
        </w:rPr>
        <w:t>化、节地化、生态化方面向更高水平迈进，形成布局合理、功能齐全、惠民公益、绿色生态的殡葬</w:t>
      </w:r>
      <w:r>
        <w:rPr>
          <w:rFonts w:hint="eastAsia"/>
          <w:lang w:bidi="ar"/>
        </w:rPr>
        <w:t>公共</w:t>
      </w:r>
      <w:r>
        <w:rPr>
          <w:lang w:bidi="ar"/>
        </w:rPr>
        <w:t>服务网络。</w:t>
      </w:r>
    </w:p>
    <w:p>
      <w:pPr>
        <w:pStyle w:val="4"/>
        <w:spacing w:before="211" w:after="211"/>
      </w:pPr>
      <w:bookmarkStart w:id="73" w:name="_Toc206512702"/>
      <w:bookmarkStart w:id="74" w:name="_Toc219817788"/>
      <w:r>
        <w:rPr>
          <w:rFonts w:hint="eastAsia"/>
        </w:rPr>
        <w:t>第一节 框定规模总量，规范土地利用</w:t>
      </w:r>
      <w:bookmarkEnd w:id="73"/>
      <w:bookmarkEnd w:id="74"/>
    </w:p>
    <w:p>
      <w:pPr>
        <w:pStyle w:val="5"/>
        <w:spacing w:before="211" w:after="211"/>
        <w:ind w:left="310" w:right="300"/>
      </w:pPr>
      <w:bookmarkStart w:id="75" w:name="_Toc217988753"/>
      <w:bookmarkStart w:id="76" w:name="_Toc206512703"/>
      <w:bookmarkStart w:id="77" w:name="_Toc219817789"/>
      <w:r>
        <w:t>严格控制总量</w:t>
      </w:r>
      <w:bookmarkEnd w:id="75"/>
      <w:bookmarkEnd w:id="76"/>
      <w:r>
        <w:rPr>
          <w:rFonts w:hint="eastAsia"/>
        </w:rPr>
        <w:t>，坚持节约集约利用土地</w:t>
      </w:r>
      <w:bookmarkEnd w:id="77"/>
    </w:p>
    <w:p>
      <w:pPr>
        <w:ind w:firstLine="600"/>
        <w:rPr>
          <w:lang w:bidi="ar"/>
        </w:rPr>
      </w:pPr>
      <w:bookmarkStart w:id="78" w:name="OLE_LINK121"/>
      <w:bookmarkStart w:id="79" w:name="OLE_LINK120"/>
      <w:r>
        <w:rPr>
          <w:rFonts w:hint="eastAsia"/>
          <w:lang w:bidi="ar"/>
        </w:rPr>
        <w:t>坚持需求导向，根据全区人口及发展趋势，明确公益性殡葬设施数量、布局、规模，坚持节约集约利用土地，充分利用存量资源，严格控制殡葬设施数量及占地规模。</w:t>
      </w:r>
      <w:bookmarkEnd w:id="78"/>
      <w:bookmarkEnd w:id="79"/>
      <w:r>
        <w:rPr>
          <w:rFonts w:hint="eastAsia"/>
          <w:lang w:bidi="ar"/>
        </w:rPr>
        <w:t>逐步建立以公益性服务为主体的殡葬设施发展格局。</w:t>
      </w:r>
    </w:p>
    <w:p>
      <w:pPr>
        <w:ind w:firstLine="600"/>
      </w:pPr>
      <w:r>
        <w:rPr>
          <w:rFonts w:hint="eastAsia" w:ascii="Times New Roman" w:hAnsi="Times New Roman"/>
          <w:lang w:bidi="ar"/>
        </w:rPr>
        <w:t>1</w:t>
      </w:r>
      <w:r>
        <w:rPr>
          <w:rFonts w:ascii="Times New Roman" w:hAnsi="Times New Roman"/>
          <w:lang w:bidi="ar"/>
        </w:rPr>
        <w:t>.</w:t>
      </w:r>
      <w:r>
        <w:rPr>
          <w:lang w:bidi="ar"/>
        </w:rPr>
        <w:t>公益性公墓</w:t>
      </w:r>
    </w:p>
    <w:p>
      <w:pPr>
        <w:ind w:firstLine="600"/>
      </w:pPr>
      <w:r>
        <w:rPr>
          <w:rFonts w:hint="eastAsia"/>
          <w:lang w:bidi="ar"/>
        </w:rPr>
        <w:t>以全区户籍</w:t>
      </w:r>
      <w:r>
        <w:rPr>
          <w:lang w:bidi="ar"/>
        </w:rPr>
        <w:t>人口、公益性骨灰安置比例预测公益性骨灰安置需求，严格按照</w:t>
      </w:r>
      <w:r>
        <w:rPr>
          <w:rFonts w:hint="eastAsia"/>
          <w:lang w:bidi="ar"/>
        </w:rPr>
        <w:t>节地生态</w:t>
      </w:r>
      <w:r>
        <w:rPr>
          <w:lang w:bidi="ar"/>
        </w:rPr>
        <w:t>安葬比例和占地标准估算安置用地需求。</w:t>
      </w:r>
    </w:p>
    <w:p>
      <w:pPr>
        <w:ind w:firstLine="600"/>
      </w:pPr>
      <w:r>
        <w:rPr>
          <w:rFonts w:ascii="Times New Roman" w:hAnsi="Times New Roman"/>
          <w:lang w:bidi="ar"/>
        </w:rPr>
        <w:t>2.</w:t>
      </w:r>
      <w:r>
        <w:rPr>
          <w:lang w:bidi="ar"/>
        </w:rPr>
        <w:t>经营性公墓</w:t>
      </w:r>
    </w:p>
    <w:p>
      <w:pPr>
        <w:ind w:firstLine="600"/>
        <w:rPr>
          <w:lang w:bidi="ar"/>
        </w:rPr>
      </w:pPr>
      <w:r>
        <w:rPr>
          <w:rFonts w:hint="eastAsia"/>
          <w:lang w:bidi="ar"/>
        </w:rPr>
        <w:t>落实市级专项规划要求。3家经营性公墓，</w:t>
      </w:r>
      <w:bookmarkStart w:id="80" w:name="_Hlk220404959"/>
      <w:bookmarkStart w:id="81" w:name="OLE_LINK185"/>
      <w:r>
        <w:rPr>
          <w:rFonts w:hint="eastAsia"/>
          <w:lang w:bidi="ar"/>
        </w:rPr>
        <w:t>太子峪陵园及北京市回民公墓为保留型公墓。现有经营性公墓需在占地规模不扩展的前提下，进一步校核用地范围，严格按照节地生态安葬比例和占地标准计算规划期内新增骨灰安置容量。</w:t>
      </w:r>
      <w:bookmarkEnd w:id="80"/>
      <w:bookmarkEnd w:id="81"/>
      <w:r>
        <w:rPr>
          <w:rFonts w:hint="eastAsia"/>
          <w:lang w:bidi="ar"/>
        </w:rPr>
        <w:t>思亲园骨灰林为限容型公墓，应降低开发强度，严控集中墓区规模，禁止新建立碑式传统墓位，以现状资源挖潜为主，大力推行树葬、花葬、草坪葬、卧碑式墓位等节地生态安葬。</w:t>
      </w:r>
    </w:p>
    <w:p>
      <w:pPr>
        <w:pStyle w:val="5"/>
        <w:spacing w:before="211" w:after="211"/>
        <w:ind w:left="310" w:right="300"/>
      </w:pPr>
      <w:bookmarkStart w:id="82" w:name="_Toc217988754"/>
      <w:bookmarkStart w:id="83" w:name="_Toc206512704"/>
      <w:bookmarkStart w:id="84" w:name="_Toc219817790"/>
      <w:r>
        <w:rPr>
          <w:rFonts w:hint="eastAsia"/>
        </w:rPr>
        <w:t>重构公益性公墓管理体系，提升设施管理层级</w:t>
      </w:r>
      <w:bookmarkEnd w:id="82"/>
      <w:bookmarkEnd w:id="83"/>
      <w:bookmarkEnd w:id="84"/>
    </w:p>
    <w:p>
      <w:pPr>
        <w:ind w:firstLine="600"/>
      </w:pPr>
      <w:r>
        <w:rPr>
          <w:rFonts w:hint="eastAsia"/>
          <w:lang w:bidi="ar"/>
        </w:rPr>
        <w:t>建立长效管理机制，提升设施管理层级，加强资源统筹。构建“区—镇—村”三级公益性公墓服务体系，以区为建设审批和资源统筹层级，以镇为基本管理层级，实现资源优化配置，避免重复建设，提高管理效率和规范性，提升服务水平。</w:t>
      </w:r>
    </w:p>
    <w:p>
      <w:pPr>
        <w:pStyle w:val="93"/>
        <w:numPr>
          <w:ilvl w:val="0"/>
          <w:numId w:val="13"/>
        </w:numPr>
        <w:ind w:firstLineChars="0"/>
        <w:rPr>
          <w:lang w:bidi="ar"/>
        </w:rPr>
      </w:pPr>
      <w:r>
        <w:rPr>
          <w:rFonts w:hint="eastAsia"/>
          <w:lang w:bidi="ar"/>
        </w:rPr>
        <w:t>加快推进区级公益性公墓建设</w:t>
      </w:r>
    </w:p>
    <w:p>
      <w:pPr>
        <w:ind w:firstLine="600"/>
        <w:rPr>
          <w:lang w:bidi="ar"/>
        </w:rPr>
      </w:pPr>
      <w:r>
        <w:rPr>
          <w:rFonts w:hint="eastAsia"/>
          <w:lang w:bidi="ar"/>
        </w:rPr>
        <w:t>加快推进区级公益性公墓建设，统筹推进基本殡葬服务全覆盖。强化公益性公墓集中管理，实现科学合理的骨灰安置容量，提高管理水平，集约利用土地资源。加强区级层面对全区骨灰安置资源的统筹力度，在全区范围内进行资源调配，统筹解决全区村（居）民骨灰安葬需求。</w:t>
      </w:r>
    </w:p>
    <w:p>
      <w:pPr>
        <w:pStyle w:val="93"/>
        <w:numPr>
          <w:ilvl w:val="0"/>
          <w:numId w:val="13"/>
        </w:numPr>
        <w:ind w:firstLineChars="0"/>
        <w:rPr>
          <w:lang w:bidi="ar"/>
        </w:rPr>
      </w:pPr>
      <w:r>
        <w:rPr>
          <w:rFonts w:hint="eastAsia"/>
          <w:lang w:bidi="ar"/>
        </w:rPr>
        <w:t>加强镇、村级公益性公墓规范管理</w:t>
      </w:r>
    </w:p>
    <w:p>
      <w:pPr>
        <w:ind w:firstLine="600"/>
        <w:rPr>
          <w:lang w:bidi="ar"/>
        </w:rPr>
      </w:pPr>
      <w:r>
        <w:rPr>
          <w:rFonts w:hint="eastAsia"/>
          <w:lang w:bidi="ar"/>
        </w:rPr>
        <w:t>明确公墓管理层级，强化属地管理责任，完善考核办法，健全评价标准。</w:t>
      </w:r>
    </w:p>
    <w:p>
      <w:pPr>
        <w:pStyle w:val="5"/>
        <w:spacing w:before="211" w:after="211"/>
        <w:ind w:left="310" w:right="300"/>
      </w:pPr>
      <w:bookmarkStart w:id="85" w:name="_Toc217988755"/>
      <w:bookmarkStart w:id="86" w:name="_Toc219817791"/>
      <w:bookmarkStart w:id="87" w:name="_Toc206512705"/>
      <w:r>
        <w:rPr>
          <w:rFonts w:hint="eastAsia"/>
        </w:rPr>
        <w:t>强化时序管控，滚动释放空间资源</w:t>
      </w:r>
      <w:bookmarkEnd w:id="85"/>
      <w:bookmarkEnd w:id="86"/>
      <w:bookmarkEnd w:id="87"/>
    </w:p>
    <w:p>
      <w:pPr>
        <w:ind w:firstLine="600"/>
      </w:pPr>
      <w:r>
        <w:rPr>
          <w:rFonts w:ascii="Times New Roman" w:hAnsi="Times New Roman"/>
          <w:lang w:bidi="ar"/>
        </w:rPr>
        <w:t xml:space="preserve">1. </w:t>
      </w:r>
      <w:r>
        <w:rPr>
          <w:rFonts w:hint="eastAsia"/>
          <w:lang w:bidi="ar"/>
        </w:rPr>
        <w:t>坚持需求导向，优化空间布局</w:t>
      </w:r>
    </w:p>
    <w:p>
      <w:pPr>
        <w:ind w:firstLine="600"/>
      </w:pPr>
      <w:r>
        <w:rPr>
          <w:rFonts w:hint="eastAsia"/>
          <w:lang w:bidi="ar"/>
        </w:rPr>
        <w:t>结合当地习俗、交通和地理条件，以安葬意愿调查和需求预测为依据，优先选择意愿强、需求大、条件符合的地区建设公益性公墓。</w:t>
      </w:r>
    </w:p>
    <w:p>
      <w:pPr>
        <w:ind w:firstLine="600"/>
      </w:pPr>
      <w:r>
        <w:rPr>
          <w:rFonts w:ascii="Times New Roman" w:hAnsi="Times New Roman"/>
          <w:lang w:bidi="ar"/>
        </w:rPr>
        <w:t xml:space="preserve">2. </w:t>
      </w:r>
      <w:r>
        <w:rPr>
          <w:rFonts w:hint="eastAsia"/>
          <w:lang w:bidi="ar"/>
        </w:rPr>
        <w:t>分期分批建设，减少环境干扰</w:t>
      </w:r>
    </w:p>
    <w:p>
      <w:pPr>
        <w:ind w:firstLine="600"/>
      </w:pPr>
      <w:r>
        <w:rPr>
          <w:rFonts w:hint="eastAsia"/>
          <w:lang w:bidi="ar"/>
        </w:rPr>
        <w:t>以</w:t>
      </w:r>
      <w:r>
        <w:rPr>
          <w:rFonts w:ascii="Times New Roman" w:hAnsi="Times New Roman"/>
          <w:lang w:bidi="ar"/>
        </w:rPr>
        <w:t>3—5</w:t>
      </w:r>
      <w:r>
        <w:rPr>
          <w:rFonts w:hint="eastAsia"/>
          <w:lang w:bidi="ar"/>
        </w:rPr>
        <w:t>年为周期估算安葬需求，分期分批进行墓穴建设，未利用土地应先期用于绿化，原用地性质为农用地或林地的应维持原使用功能。</w:t>
      </w:r>
    </w:p>
    <w:p>
      <w:pPr>
        <w:ind w:firstLine="600"/>
      </w:pPr>
      <w:r>
        <w:rPr>
          <w:rFonts w:ascii="Times New Roman" w:hAnsi="Times New Roman"/>
          <w:lang w:bidi="ar"/>
        </w:rPr>
        <w:t xml:space="preserve">3. </w:t>
      </w:r>
      <w:r>
        <w:rPr>
          <w:rFonts w:hint="eastAsia"/>
          <w:lang w:bidi="ar"/>
        </w:rPr>
        <w:t>强化动态管控，建立增减挂钩机制</w:t>
      </w:r>
    </w:p>
    <w:p>
      <w:pPr>
        <w:ind w:firstLine="600"/>
      </w:pPr>
      <w:r>
        <w:rPr>
          <w:rFonts w:hint="eastAsia"/>
          <w:lang w:bidi="ar"/>
        </w:rPr>
        <w:t>建立殡葬用地增减挂钩机制，以保障村（居）民殡葬服务需求为前提，将禁限建要素和违法违规用地清退释放出的土地资源与新增公益性公墓用地挂钩联动，保持全区殡葬设施用地总量相对稳定，进一步提高公益性公墓的土地节约集约利用水平。公园绿地、林地和耕地中的散坟和集中埋葬点在迁移后应尽快恢复对应用地功能。</w:t>
      </w:r>
    </w:p>
    <w:p>
      <w:pPr>
        <w:pStyle w:val="4"/>
        <w:spacing w:before="211" w:after="211"/>
      </w:pPr>
      <w:bookmarkStart w:id="88" w:name="_Toc206512706"/>
      <w:bookmarkStart w:id="89" w:name="_Toc219817792"/>
      <w:r>
        <w:t>第</w:t>
      </w:r>
      <w:r>
        <w:rPr>
          <w:rFonts w:hint="eastAsia"/>
        </w:rPr>
        <w:t>二</w:t>
      </w:r>
      <w:r>
        <w:t>节</w:t>
      </w:r>
      <w:r>
        <w:rPr>
          <w:rFonts w:hint="eastAsia"/>
        </w:rPr>
        <w:t xml:space="preserve"> </w:t>
      </w:r>
      <w:r>
        <w:t>关注重点问题，完善服务体系</w:t>
      </w:r>
      <w:bookmarkEnd w:id="88"/>
      <w:bookmarkEnd w:id="89"/>
    </w:p>
    <w:p>
      <w:pPr>
        <w:pStyle w:val="5"/>
        <w:spacing w:before="211" w:after="211"/>
        <w:ind w:left="310" w:right="300"/>
      </w:pPr>
      <w:bookmarkStart w:id="90" w:name="_Toc219817793"/>
      <w:bookmarkStart w:id="91" w:name="_Toc217988757"/>
      <w:bookmarkStart w:id="92" w:name="_Toc206512707"/>
      <w:r>
        <w:rPr>
          <w:rFonts w:hint="eastAsia"/>
        </w:rPr>
        <w:t>有序开展集中埋葬点迁移</w:t>
      </w:r>
      <w:bookmarkEnd w:id="90"/>
      <w:bookmarkEnd w:id="91"/>
    </w:p>
    <w:p>
      <w:pPr>
        <w:ind w:firstLine="600"/>
      </w:pPr>
      <w:r>
        <w:rPr>
          <w:rFonts w:hint="eastAsia"/>
        </w:rPr>
        <w:t>鼓励结合城市化发展和重点功能区建设，对现有集中埋葬点进行迁移和规范化管理。以“三沿五区”、重点功能区和重大项目建设区为重点，建立治理台账，制定实施计划，有序平稳推进集中埋葬点迁移。鼓励采用生态葬、立体葬等生态安葬方式安置骨灰。加强对保留集中埋葬点监管工作，避免非法占用耕地、林地、水域保护区、生态保护红线等情况，规范集中埋葬点管理。</w:t>
      </w:r>
    </w:p>
    <w:bookmarkEnd w:id="92"/>
    <w:p>
      <w:pPr>
        <w:pStyle w:val="5"/>
        <w:spacing w:before="211" w:after="211"/>
        <w:ind w:left="310" w:right="300"/>
      </w:pPr>
      <w:r>
        <w:rPr>
          <w:rFonts w:hint="eastAsia"/>
        </w:rPr>
        <w:t>全力推进散坟治理</w:t>
      </w:r>
    </w:p>
    <w:p>
      <w:pPr>
        <w:ind w:firstLine="600"/>
        <w:rPr>
          <w:rFonts w:hint="eastAsia" w:eastAsia="仿宋"/>
          <w:highlight w:val="none"/>
          <w:lang w:eastAsia="zh-CN" w:bidi="ar"/>
        </w:rPr>
        <w:sectPr>
          <w:pgSz w:w="11906" w:h="16838"/>
          <w:pgMar w:top="1440" w:right="1800" w:bottom="1440" w:left="1800" w:header="851" w:footer="992" w:gutter="0"/>
          <w:cols w:space="720" w:num="1"/>
          <w:docGrid w:type="lines" w:linePitch="422" w:charSpace="0"/>
        </w:sectPr>
      </w:pPr>
      <w:r>
        <w:rPr>
          <w:rFonts w:hint="eastAsia"/>
          <w:lang w:bidi="ar"/>
        </w:rPr>
        <w:t>摸排全区散坟情况，按照“平迁结合 节地生态”的方式对散坟予以处理，坚持应迁尽迁原则，</w:t>
      </w:r>
      <w:r>
        <w:rPr>
          <w:rFonts w:hint="eastAsia"/>
          <w:highlight w:val="none"/>
          <w:lang w:eastAsia="zh-CN" w:bidi="ar"/>
        </w:rPr>
        <w:t>丰台区已基本完成散坟治理工作。</w:t>
      </w:r>
    </w:p>
    <w:p>
      <w:pPr>
        <w:pStyle w:val="3"/>
        <w:spacing w:after="422"/>
        <w:ind w:left="310" w:right="310"/>
      </w:pPr>
      <w:bookmarkStart w:id="93" w:name="_Toc219817795"/>
      <w:bookmarkStart w:id="94" w:name="_Toc206512708"/>
      <w:r>
        <w:t>第</w:t>
      </w:r>
      <w:r>
        <w:rPr>
          <w:rFonts w:hint="eastAsia"/>
        </w:rPr>
        <w:t>五</w:t>
      </w:r>
      <w:r>
        <w:t>章</w:t>
      </w:r>
      <w:r>
        <w:rPr>
          <w:rFonts w:hint="eastAsia"/>
        </w:rPr>
        <w:t xml:space="preserve"> </w:t>
      </w:r>
      <w:r>
        <w:t>分类布局</w:t>
      </w:r>
      <w:bookmarkEnd w:id="93"/>
      <w:bookmarkEnd w:id="94"/>
    </w:p>
    <w:p>
      <w:pPr>
        <w:ind w:firstLine="600"/>
        <w:rPr>
          <w:lang w:bidi="ar"/>
        </w:rPr>
      </w:pPr>
      <w:r>
        <w:rPr>
          <w:rFonts w:hint="eastAsia"/>
          <w:lang w:bidi="ar"/>
        </w:rPr>
        <w:t>依据城市总体规划和分区规划，</w:t>
      </w:r>
      <w:r>
        <w:rPr>
          <w:lang w:bidi="ar"/>
        </w:rPr>
        <w:t>以资源环境承载能力和国土空间开发适宜性为前置条件，按照布局要求和建设标准，对公益性公墓建设提出引导性要求，统筹平衡区域资源，推进全</w:t>
      </w:r>
      <w:r>
        <w:rPr>
          <w:rFonts w:hint="eastAsia"/>
          <w:lang w:bidi="ar"/>
        </w:rPr>
        <w:t>区</w:t>
      </w:r>
      <w:r>
        <w:rPr>
          <w:lang w:bidi="ar"/>
        </w:rPr>
        <w:t>殡葬设施布局优化，构建覆盖</w:t>
      </w:r>
      <w:r>
        <w:rPr>
          <w:rFonts w:hint="eastAsia"/>
          <w:lang w:bidi="ar"/>
        </w:rPr>
        <w:t>村</w:t>
      </w:r>
      <w:r>
        <w:rPr>
          <w:lang w:bidi="ar"/>
        </w:rPr>
        <w:t>（居）民的殡葬设施体系。</w:t>
      </w:r>
    </w:p>
    <w:p>
      <w:pPr>
        <w:pStyle w:val="4"/>
        <w:spacing w:before="211" w:after="211"/>
      </w:pPr>
      <w:bookmarkStart w:id="95" w:name="_Toc206512709"/>
      <w:bookmarkStart w:id="96" w:name="_Toc219817796"/>
      <w:bookmarkStart w:id="97" w:name="OLE_LINK65"/>
      <w:bookmarkStart w:id="98" w:name="OLE_LINK66"/>
      <w:r>
        <w:rPr>
          <w:rFonts w:hint="eastAsia"/>
        </w:rPr>
        <w:t>第一节 合理预测公益性殡葬设施需求</w:t>
      </w:r>
      <w:bookmarkEnd w:id="95"/>
      <w:bookmarkEnd w:id="96"/>
    </w:p>
    <w:bookmarkEnd w:id="97"/>
    <w:bookmarkEnd w:id="98"/>
    <w:p>
      <w:pPr>
        <w:pStyle w:val="5"/>
        <w:spacing w:before="211" w:after="211"/>
        <w:ind w:left="310" w:right="300"/>
      </w:pPr>
      <w:bookmarkStart w:id="99" w:name="_Toc217988761"/>
      <w:bookmarkStart w:id="100" w:name="_Toc219817797"/>
      <w:r>
        <w:rPr>
          <w:rFonts w:hint="eastAsia"/>
          <w:lang w:bidi="ar"/>
        </w:rPr>
        <w:t>测算方式</w:t>
      </w:r>
      <w:bookmarkEnd w:id="99"/>
      <w:bookmarkEnd w:id="100"/>
    </w:p>
    <w:p>
      <w:pPr>
        <w:ind w:firstLine="600"/>
        <w:rPr>
          <w:lang w:bidi="ar"/>
        </w:rPr>
      </w:pPr>
      <w:r>
        <w:rPr>
          <w:rFonts w:hint="eastAsia"/>
          <w:lang w:bidi="ar"/>
        </w:rPr>
        <w:t>依据《北京市殡葬设施专项规划（2021年</w:t>
      </w:r>
      <w:r>
        <w:rPr>
          <w:lang w:bidi="ar"/>
        </w:rPr>
        <w:t>-</w:t>
      </w:r>
      <w:r>
        <w:rPr>
          <w:rFonts w:hint="eastAsia"/>
          <w:lang w:bidi="ar"/>
        </w:rPr>
        <w:t xml:space="preserve">2035年）》相应标准进行测算。 </w:t>
      </w:r>
    </w:p>
    <w:p>
      <w:pPr>
        <w:ind w:firstLine="600"/>
        <w:rPr>
          <w:lang w:bidi="ar"/>
        </w:rPr>
      </w:pPr>
      <w:r>
        <w:rPr>
          <w:rFonts w:hint="eastAsia"/>
          <w:lang w:bidi="ar"/>
        </w:rPr>
        <w:t>公益性公墓骨灰安置需求主要包括新增骨灰和集中埋葬点迁移两部分。</w:t>
      </w:r>
    </w:p>
    <w:p>
      <w:pPr>
        <w:ind w:firstLine="600"/>
        <w:rPr>
          <w:lang w:bidi="ar"/>
        </w:rPr>
      </w:pPr>
      <w:r>
        <w:rPr>
          <w:rFonts w:hint="eastAsia"/>
          <w:lang w:bidi="ar"/>
        </w:rPr>
        <w:t xml:space="preserve">新增骨灰安置量根据全区户籍人口数量、死亡率、安置率、公益安置比例、服务系数等要素预测得出。 </w:t>
      </w:r>
    </w:p>
    <w:p>
      <w:pPr>
        <w:ind w:firstLine="600"/>
        <w:rPr>
          <w:lang w:bidi="ar"/>
        </w:rPr>
      </w:pPr>
      <w:r>
        <w:rPr>
          <w:rFonts w:hint="eastAsia"/>
          <w:lang w:bidi="ar"/>
        </w:rPr>
        <w:t xml:space="preserve">计算公式： </w:t>
      </w:r>
    </w:p>
    <w:p>
      <w:pPr>
        <w:ind w:firstLine="600"/>
        <w:rPr>
          <w:lang w:bidi="ar"/>
        </w:rPr>
      </w:pPr>
      <w:r>
        <w:rPr>
          <w:rFonts w:hint="eastAsia"/>
          <w:lang w:bidi="ar"/>
        </w:rPr>
        <w:t xml:space="preserve">新增骨灰安置量（份）=服务人口（人）×年死亡率（‰）×安置率（%）×公益安置比例（%）×服务系数（份/人） </w:t>
      </w:r>
    </w:p>
    <w:p>
      <w:pPr>
        <w:pStyle w:val="4"/>
        <w:spacing w:before="211" w:after="211"/>
      </w:pPr>
      <w:bookmarkStart w:id="101" w:name="_Toc206512712"/>
      <w:bookmarkStart w:id="102" w:name="_Toc219817799"/>
      <w:r>
        <w:rPr>
          <w:rFonts w:hint="eastAsia"/>
        </w:rPr>
        <w:t xml:space="preserve">第二节 </w:t>
      </w:r>
      <w:bookmarkEnd w:id="101"/>
      <w:r>
        <w:rPr>
          <w:rFonts w:hint="eastAsia"/>
        </w:rPr>
        <w:t>系统构建公墓服务体系</w:t>
      </w:r>
      <w:bookmarkEnd w:id="102"/>
    </w:p>
    <w:p>
      <w:pPr>
        <w:pStyle w:val="5"/>
        <w:spacing w:before="211" w:after="211"/>
        <w:ind w:left="310" w:right="300"/>
      </w:pPr>
      <w:r>
        <w:rPr>
          <w:rFonts w:hint="eastAsia"/>
        </w:rPr>
        <w:t>总体空间格局</w:t>
      </w:r>
    </w:p>
    <w:p>
      <w:pPr>
        <w:ind w:firstLine="600"/>
        <w:rPr>
          <w:lang w:bidi="ar"/>
        </w:rPr>
      </w:pPr>
      <w:bookmarkStart w:id="103" w:name="OLE_LINK63"/>
      <w:bookmarkStart w:id="104" w:name="OLE_LINK64"/>
      <w:r>
        <w:rPr>
          <w:rFonts w:hint="eastAsia"/>
          <w:lang w:bidi="ar"/>
        </w:rPr>
        <w:t>结合现状殡葬设施，至2</w:t>
      </w:r>
      <w:r>
        <w:rPr>
          <w:lang w:bidi="ar"/>
        </w:rPr>
        <w:t>035年</w:t>
      </w:r>
      <w:r>
        <w:rPr>
          <w:rFonts w:hint="eastAsia"/>
          <w:lang w:bidi="ar"/>
        </w:rPr>
        <w:t>全区形成</w:t>
      </w:r>
      <w:bookmarkEnd w:id="103"/>
      <w:bookmarkEnd w:id="104"/>
      <w:r>
        <w:rPr>
          <w:rFonts w:hint="eastAsia"/>
          <w:lang w:bidi="ar"/>
        </w:rPr>
        <w:t>“</w:t>
      </w:r>
      <w:r>
        <w:rPr>
          <w:lang w:bidi="ar"/>
        </w:rPr>
        <w:t>3</w:t>
      </w:r>
      <w:r>
        <w:rPr>
          <w:rFonts w:hint="eastAsia"/>
          <w:lang w:bidi="ar"/>
        </w:rPr>
        <w:t>园、多点”的公墓体系空间布局。</w:t>
      </w:r>
    </w:p>
    <w:p>
      <w:pPr>
        <w:ind w:firstLine="600"/>
        <w:rPr>
          <w:lang w:bidi="ar"/>
        </w:rPr>
      </w:pPr>
      <w:r>
        <w:rPr>
          <w:lang w:bidi="ar"/>
        </w:rPr>
        <w:t>3</w:t>
      </w:r>
      <w:r>
        <w:rPr>
          <w:rFonts w:hint="eastAsia"/>
          <w:lang w:bidi="ar"/>
        </w:rPr>
        <w:t>园（经营性公墓）：北京市回民公墓（现状）、太子峪陵园（现状）、思亲园骨灰林（现状）</w:t>
      </w:r>
    </w:p>
    <w:p>
      <w:pPr>
        <w:ind w:firstLine="600"/>
        <w:rPr>
          <w:lang w:bidi="ar"/>
        </w:rPr>
      </w:pPr>
      <w:r>
        <w:rPr>
          <w:rFonts w:hint="eastAsia"/>
          <w:lang w:bidi="ar"/>
        </w:rPr>
        <w:t>多点（公益性公墓）：结合现状设施，衔接各级各类国土空间规划，建立起覆盖全区的“区-镇-村”公益性公墓体系。</w:t>
      </w:r>
    </w:p>
    <w:p>
      <w:pPr>
        <w:pStyle w:val="4"/>
        <w:spacing w:before="211" w:after="211"/>
      </w:pPr>
      <w:bookmarkStart w:id="105" w:name="_Toc206512718"/>
      <w:bookmarkStart w:id="106" w:name="_Toc219817803"/>
      <w:r>
        <w:rPr>
          <w:rFonts w:hint="eastAsia"/>
        </w:rPr>
        <w:t xml:space="preserve">第三节 </w:t>
      </w:r>
      <w:bookmarkEnd w:id="105"/>
      <w:r>
        <w:rPr>
          <w:rFonts w:hint="eastAsia"/>
        </w:rPr>
        <w:t>有序推进集中埋葬点</w:t>
      </w:r>
      <w:bookmarkEnd w:id="106"/>
      <w:r>
        <w:rPr>
          <w:rFonts w:hint="eastAsia"/>
        </w:rPr>
        <w:t>规范治理</w:t>
      </w:r>
    </w:p>
    <w:p>
      <w:pPr>
        <w:pStyle w:val="5"/>
        <w:spacing w:before="211" w:after="211"/>
        <w:ind w:left="310" w:right="300"/>
      </w:pPr>
      <w:bookmarkStart w:id="107" w:name="_Toc206512720"/>
      <w:bookmarkStart w:id="108" w:name="_Toc217988767"/>
      <w:bookmarkStart w:id="109" w:name="_Toc219817804"/>
      <w:r>
        <w:rPr>
          <w:rFonts w:hint="eastAsia"/>
        </w:rPr>
        <w:t>集中埋葬点</w:t>
      </w:r>
      <w:bookmarkEnd w:id="107"/>
      <w:r>
        <w:rPr>
          <w:rFonts w:hint="eastAsia"/>
        </w:rPr>
        <w:t>治理引导</w:t>
      </w:r>
      <w:bookmarkEnd w:id="108"/>
      <w:bookmarkEnd w:id="109"/>
    </w:p>
    <w:p>
      <w:pPr>
        <w:ind w:firstLine="600"/>
        <w:rPr>
          <w:lang w:bidi="ar"/>
        </w:rPr>
      </w:pPr>
      <w:bookmarkStart w:id="110" w:name="OLE_LINK190"/>
      <w:bookmarkStart w:id="111" w:name="OLE_LINK191"/>
      <w:r>
        <w:rPr>
          <w:rFonts w:hint="eastAsia"/>
          <w:lang w:bidi="ar"/>
        </w:rPr>
        <w:t>统筹考虑全区规划建设发展情况，以“三沿五区”为重点，加快重点地区集中埋葬点</w:t>
      </w:r>
      <w:bookmarkEnd w:id="110"/>
      <w:bookmarkEnd w:id="111"/>
      <w:r>
        <w:rPr>
          <w:rFonts w:hint="eastAsia"/>
          <w:lang w:bidi="ar"/>
        </w:rPr>
        <w:t>治理及就地整治提升工作，逐步实现规范化管理。</w:t>
      </w:r>
    </w:p>
    <w:p>
      <w:pPr>
        <w:pStyle w:val="5"/>
        <w:spacing w:before="211" w:after="211"/>
        <w:ind w:left="310" w:right="300"/>
      </w:pPr>
      <w:bookmarkStart w:id="112" w:name="_Toc219817805"/>
      <w:bookmarkStart w:id="113" w:name="_Toc217988768"/>
      <w:r>
        <w:rPr>
          <w:rFonts w:hint="eastAsia"/>
        </w:rPr>
        <w:t>散坟治理引导</w:t>
      </w:r>
      <w:bookmarkEnd w:id="112"/>
      <w:bookmarkEnd w:id="113"/>
    </w:p>
    <w:p>
      <w:pPr>
        <w:ind w:firstLine="600"/>
        <w:rPr>
          <w:lang w:bidi="ar"/>
        </w:rPr>
      </w:pPr>
      <w:r>
        <w:rPr>
          <w:rFonts w:hint="eastAsia"/>
          <w:lang w:bidi="ar"/>
        </w:rPr>
        <w:t>依据国务院《殡葬管理条例》和《北京市殡葬管理条例》，为进一步深化殡葬改革，推行节地生态安葬，保护生态环境，全区积极有序地推进我区散坟治理工作。</w:t>
      </w:r>
    </w:p>
    <w:p>
      <w:pPr>
        <w:pStyle w:val="4"/>
        <w:spacing w:before="211" w:after="211"/>
      </w:pPr>
      <w:bookmarkStart w:id="114" w:name="_Toc219817806"/>
      <w:r>
        <w:rPr>
          <w:rFonts w:hint="eastAsia"/>
        </w:rPr>
        <w:t xml:space="preserve">第四节 </w:t>
      </w:r>
      <w:bookmarkEnd w:id="114"/>
      <w:r>
        <w:rPr>
          <w:rFonts w:hint="eastAsia"/>
        </w:rPr>
        <w:t xml:space="preserve">全力推广节地生态的安葬模式 </w:t>
      </w:r>
    </w:p>
    <w:p>
      <w:pPr>
        <w:pStyle w:val="5"/>
        <w:spacing w:before="211" w:after="211"/>
        <w:ind w:left="310" w:right="300"/>
      </w:pPr>
      <w:bookmarkStart w:id="115" w:name="_Toc219817807"/>
      <w:bookmarkStart w:id="116" w:name="_Toc217988770"/>
      <w:r>
        <w:rPr>
          <w:rFonts w:hint="eastAsia"/>
        </w:rPr>
        <w:t>提升节地生态葬比例</w:t>
      </w:r>
      <w:bookmarkEnd w:id="115"/>
      <w:bookmarkEnd w:id="116"/>
    </w:p>
    <w:p>
      <w:pPr>
        <w:ind w:firstLine="600"/>
        <w:rPr>
          <w:lang w:bidi="ar"/>
        </w:rPr>
      </w:pPr>
      <w:r>
        <w:rPr>
          <w:rFonts w:hint="eastAsia"/>
          <w:lang w:bidi="ar"/>
        </w:rPr>
        <w:t>公益性公墓应充分发挥引导葬式改革、推广节地生态安葬的示范带动作用，进一步控制传统墓穴葬比例。公益性公墓中的墓葬数量不应高于骨灰安置总量的</w:t>
      </w:r>
      <w:r>
        <w:rPr>
          <w:lang w:bidi="ar"/>
        </w:rPr>
        <w:t>40%</w:t>
      </w:r>
      <w:r>
        <w:rPr>
          <w:rFonts w:hint="eastAsia"/>
          <w:lang w:bidi="ar"/>
        </w:rPr>
        <w:t>，节地型墓葬、立体葬、生态葬比例按照</w:t>
      </w:r>
      <w:r>
        <w:rPr>
          <w:lang w:bidi="ar"/>
        </w:rPr>
        <w:t>4:4:2</w:t>
      </w:r>
      <w:r>
        <w:rPr>
          <w:rFonts w:hint="eastAsia"/>
          <w:lang w:bidi="ar"/>
        </w:rPr>
        <w:t>进行引导。</w:t>
      </w:r>
    </w:p>
    <w:p>
      <w:pPr>
        <w:pStyle w:val="5"/>
        <w:spacing w:before="211" w:after="211"/>
        <w:ind w:left="310" w:right="300"/>
      </w:pPr>
      <w:bookmarkStart w:id="117" w:name="_Toc217988771"/>
      <w:bookmarkStart w:id="118" w:name="_Toc219817808"/>
      <w:r>
        <w:rPr>
          <w:rFonts w:hint="eastAsia"/>
        </w:rPr>
        <w:t>引导</w:t>
      </w:r>
      <w:bookmarkStart w:id="119" w:name="OLE_LINK137"/>
      <w:bookmarkStart w:id="120" w:name="OLE_LINK138"/>
      <w:r>
        <w:rPr>
          <w:rFonts w:hint="eastAsia"/>
        </w:rPr>
        <w:t>新型生态安葬方式</w:t>
      </w:r>
      <w:bookmarkEnd w:id="117"/>
      <w:bookmarkEnd w:id="118"/>
      <w:bookmarkEnd w:id="119"/>
      <w:bookmarkEnd w:id="120"/>
      <w:r>
        <w:rPr>
          <w:rFonts w:hint="eastAsia"/>
        </w:rPr>
        <w:t xml:space="preserve"> </w:t>
      </w:r>
    </w:p>
    <w:p>
      <w:pPr>
        <w:ind w:firstLine="600"/>
        <w:rPr>
          <w:lang w:bidi="ar"/>
        </w:rPr>
      </w:pPr>
      <w:r>
        <w:rPr>
          <w:rFonts w:hint="eastAsia"/>
          <w:lang w:bidi="ar"/>
        </w:rPr>
        <w:t>新型生态安葬以节地环保为核心目标，涵盖多种形式。常见生态安葬类型有树葬、海葬、花葬、草坪葬及壁葬；新兴特殊生态葬式有自然降解葬。</w:t>
      </w:r>
    </w:p>
    <w:p>
      <w:pPr>
        <w:ind w:firstLine="600"/>
        <w:rPr>
          <w:lang w:bidi="ar"/>
        </w:rPr>
      </w:pPr>
      <w:r>
        <w:rPr>
          <w:rFonts w:hint="eastAsia"/>
          <w:lang w:bidi="ar"/>
        </w:rPr>
        <w:t xml:space="preserve">自然降解葬：使用可降解的骨灰盒或容器，将骨灰安葬在指定区域，容器和骨灰在自然环境中逐渐降解，最终与土壤融合。 </w:t>
      </w: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pPr>
    </w:p>
    <w:p>
      <w:pPr>
        <w:ind w:firstLine="600"/>
        <w:rPr>
          <w:lang w:bidi="ar"/>
        </w:rPr>
        <w:sectPr>
          <w:pgSz w:w="11906" w:h="16838"/>
          <w:pgMar w:top="1440" w:right="1800" w:bottom="1440" w:left="1800" w:header="851" w:footer="992" w:gutter="0"/>
          <w:cols w:space="720" w:num="1"/>
          <w:docGrid w:type="lines" w:linePitch="422" w:charSpace="0"/>
        </w:sectPr>
      </w:pPr>
    </w:p>
    <w:p>
      <w:pPr>
        <w:pStyle w:val="3"/>
        <w:spacing w:after="422"/>
        <w:ind w:left="310" w:right="310"/>
      </w:pPr>
      <w:bookmarkStart w:id="121" w:name="_Toc219817809"/>
      <w:bookmarkStart w:id="122" w:name="_Toc206512721"/>
      <w:r>
        <w:t>第六章</w:t>
      </w:r>
      <w:r>
        <w:rPr>
          <w:rFonts w:hint="eastAsia"/>
        </w:rPr>
        <w:t xml:space="preserve"> </w:t>
      </w:r>
      <w:r>
        <w:t>实施保障</w:t>
      </w:r>
      <w:bookmarkEnd w:id="121"/>
      <w:bookmarkEnd w:id="122"/>
    </w:p>
    <w:p>
      <w:pPr>
        <w:ind w:firstLine="600"/>
      </w:pPr>
      <w:r>
        <w:rPr>
          <w:lang w:bidi="ar"/>
        </w:rPr>
        <w:t>坚持规划引领，完善政策机制，加大宣传力度，提高建设水平，推动</w:t>
      </w:r>
      <w:r>
        <w:rPr>
          <w:rFonts w:hint="eastAsia"/>
          <w:lang w:bidi="ar"/>
        </w:rPr>
        <w:t>全区</w:t>
      </w:r>
      <w:r>
        <w:rPr>
          <w:lang w:bidi="ar"/>
        </w:rPr>
        <w:t>殡葬设施布局合理、运行有序，保障各项建设与管理按照规划有效实施。</w:t>
      </w:r>
    </w:p>
    <w:p>
      <w:pPr>
        <w:pStyle w:val="4"/>
        <w:spacing w:before="211" w:after="211"/>
      </w:pPr>
      <w:bookmarkStart w:id="123" w:name="_Toc206512722"/>
      <w:bookmarkStart w:id="124" w:name="_Toc219817810"/>
      <w:r>
        <w:rPr>
          <w:rFonts w:hint="eastAsia"/>
        </w:rPr>
        <w:t>第一节 加强规划引导</w:t>
      </w:r>
      <w:bookmarkEnd w:id="123"/>
      <w:bookmarkEnd w:id="124"/>
    </w:p>
    <w:p>
      <w:pPr>
        <w:pStyle w:val="5"/>
        <w:spacing w:before="211" w:after="211"/>
        <w:ind w:left="310" w:right="300"/>
      </w:pPr>
      <w:bookmarkStart w:id="125" w:name="_Toc206512723"/>
      <w:bookmarkStart w:id="126" w:name="_Toc217988774"/>
      <w:bookmarkStart w:id="127" w:name="_Toc219817811"/>
      <w:r>
        <w:t>坚持规划引领</w:t>
      </w:r>
      <w:bookmarkEnd w:id="125"/>
      <w:bookmarkEnd w:id="126"/>
      <w:bookmarkEnd w:id="127"/>
    </w:p>
    <w:p>
      <w:pPr>
        <w:ind w:firstLine="600"/>
        <w:rPr>
          <w:lang w:bidi="ar"/>
        </w:rPr>
      </w:pPr>
      <w:r>
        <w:rPr>
          <w:lang w:bidi="ar"/>
        </w:rPr>
        <w:t>1</w:t>
      </w:r>
      <w:r>
        <w:rPr>
          <w:rFonts w:hint="eastAsia"/>
          <w:lang w:bidi="ar"/>
        </w:rPr>
        <w:t>.</w:t>
      </w:r>
      <w:bookmarkStart w:id="128" w:name="OLE_LINK127"/>
      <w:bookmarkStart w:id="129" w:name="OLE_LINK126"/>
      <w:r>
        <w:rPr>
          <w:rFonts w:hint="eastAsia"/>
          <w:lang w:bidi="ar"/>
        </w:rPr>
        <w:t>建立健全殡葬设施规划体系</w:t>
      </w:r>
      <w:bookmarkEnd w:id="128"/>
      <w:bookmarkEnd w:id="129"/>
    </w:p>
    <w:p>
      <w:pPr>
        <w:ind w:firstLine="600"/>
        <w:rPr>
          <w:lang w:bidi="ar"/>
        </w:rPr>
      </w:pPr>
      <w:r>
        <w:rPr>
          <w:rFonts w:hint="eastAsia"/>
          <w:lang w:bidi="ar"/>
        </w:rPr>
        <w:t>将殡葬设施规划建设纳入国土空间规划体系，落实殡葬事业改革和节约土地资源的总体要求，科学预留殡葬设施用地，优化殡葬设施布局，保障殡葬事业可持续发展。各类殡葬设施的新建、改建和扩建工程必须在符合规划的前提下进行。</w:t>
      </w:r>
    </w:p>
    <w:p>
      <w:pPr>
        <w:ind w:firstLine="600"/>
        <w:rPr>
          <w:lang w:bidi="ar"/>
        </w:rPr>
      </w:pPr>
      <w:bookmarkStart w:id="130" w:name="OLE_LINK124"/>
      <w:bookmarkStart w:id="131" w:name="OLE_LINK125"/>
      <w:r>
        <w:rPr>
          <w:rFonts w:hint="eastAsia"/>
          <w:lang w:bidi="ar"/>
        </w:rPr>
        <w:t>殡葬设施专项规划应严格落实丰台分区规划有关殡葬内容，殡葬设施用地应结合相关控制性详细规划，明确用地边界和相关规划指标，实现落点落图。</w:t>
      </w:r>
    </w:p>
    <w:bookmarkEnd w:id="130"/>
    <w:bookmarkEnd w:id="131"/>
    <w:p>
      <w:pPr>
        <w:ind w:firstLine="600"/>
      </w:pPr>
      <w:r>
        <w:rPr>
          <w:rFonts w:ascii="Times New Roman" w:hAnsi="Times New Roman"/>
          <w:lang w:bidi="ar"/>
        </w:rPr>
        <w:t>2.</w:t>
      </w:r>
      <w:r>
        <w:rPr>
          <w:rFonts w:hint="eastAsia"/>
          <w:lang w:bidi="ar"/>
        </w:rPr>
        <w:t>加强相关规划间的衔接与统筹</w:t>
      </w:r>
    </w:p>
    <w:p>
      <w:pPr>
        <w:ind w:firstLine="600"/>
      </w:pPr>
      <w:r>
        <w:rPr>
          <w:rFonts w:hint="eastAsia"/>
          <w:lang w:bidi="ar"/>
        </w:rPr>
        <w:t>加强殡葬设施规划与国民经济和社会发展规划的衔接，将殡葬项目纳入统筹；加强殡葬设施规划与民政事业发展规划、殡葬事业发展规划的统筹，确保殡葬设</w:t>
      </w:r>
      <w:r>
        <w:rPr>
          <w:lang w:bidi="ar"/>
        </w:rPr>
        <w:t>施规划任务与殡葬事业发展目标相协调，与民政中心工作相</w:t>
      </w:r>
      <w:r>
        <w:rPr>
          <w:rFonts w:hint="eastAsia"/>
          <w:lang w:bidi="ar"/>
        </w:rPr>
        <w:t>契合，多规统筹，形成合力，共同推动殡葬事业可持续发展。</w:t>
      </w:r>
    </w:p>
    <w:p>
      <w:pPr>
        <w:pStyle w:val="4"/>
        <w:spacing w:before="211" w:after="211"/>
      </w:pPr>
      <w:bookmarkStart w:id="132" w:name="_Toc206512726"/>
      <w:bookmarkStart w:id="133" w:name="_Toc219817812"/>
      <w:r>
        <w:t>第二节</w:t>
      </w:r>
      <w:r>
        <w:rPr>
          <w:rFonts w:hint="eastAsia"/>
        </w:rPr>
        <w:t xml:space="preserve"> </w:t>
      </w:r>
      <w:r>
        <w:t>完善政策机制</w:t>
      </w:r>
      <w:bookmarkEnd w:id="132"/>
      <w:bookmarkEnd w:id="133"/>
    </w:p>
    <w:p>
      <w:pPr>
        <w:pStyle w:val="5"/>
        <w:spacing w:before="211" w:after="211"/>
        <w:ind w:left="310" w:right="300"/>
      </w:pPr>
      <w:bookmarkStart w:id="134" w:name="_Toc219817813"/>
      <w:bookmarkStart w:id="135" w:name="_Toc217988776"/>
      <w:bookmarkStart w:id="136" w:name="_Toc206512727"/>
      <w:r>
        <w:rPr>
          <w:rFonts w:hint="eastAsia"/>
        </w:rPr>
        <w:t>强化部门协作</w:t>
      </w:r>
      <w:bookmarkEnd w:id="134"/>
      <w:bookmarkEnd w:id="135"/>
      <w:bookmarkEnd w:id="136"/>
    </w:p>
    <w:p>
      <w:pPr>
        <w:ind w:firstLine="600"/>
        <w:rPr>
          <w:lang w:bidi="ar"/>
        </w:rPr>
      </w:pPr>
      <w:r>
        <w:rPr>
          <w:rFonts w:hint="eastAsia"/>
          <w:lang w:bidi="ar"/>
        </w:rPr>
        <w:t>坚持党委领导、政府负责、部门协作、社会参与、法制保障的工作原则，加强力量统筹、资源整合和政策衔接，明确职责分工，完善政策措施，加强目标考核，强化责任落实，形成权责清晰、齐抓共管、治理有效的协同监管机制。相关部门根据《关于加强殡葬领域综合监管工作的方案》（丰民政文</w:t>
      </w:r>
      <w:r>
        <w:rPr>
          <w:lang w:bidi="ar"/>
        </w:rPr>
        <w:t>〔2025〕34号</w:t>
      </w:r>
      <w:r>
        <w:rPr>
          <w:rFonts w:hint="eastAsia"/>
          <w:lang w:bidi="ar"/>
        </w:rPr>
        <w:t>）各自履行职责，规范对殡葬设施规划建设的管理、监督和处罚程序。镇政府、街道办事处和村（居）委会依法做好殡葬相关工作，有效解决殡葬领域重点难点问题，形成推动殡葬改革发展的合力。</w:t>
      </w:r>
    </w:p>
    <w:p>
      <w:pPr>
        <w:pStyle w:val="5"/>
        <w:spacing w:before="211" w:after="211"/>
        <w:ind w:left="310" w:right="300"/>
      </w:pPr>
      <w:bookmarkStart w:id="137" w:name="_Toc206512728"/>
      <w:bookmarkStart w:id="138" w:name="_Toc217988777"/>
      <w:bookmarkStart w:id="139" w:name="_Toc219817814"/>
      <w:r>
        <w:rPr>
          <w:rFonts w:hint="eastAsia"/>
        </w:rPr>
        <w:t>严格审批管理</w:t>
      </w:r>
      <w:bookmarkEnd w:id="137"/>
      <w:bookmarkEnd w:id="138"/>
      <w:bookmarkEnd w:id="139"/>
    </w:p>
    <w:p>
      <w:pPr>
        <w:ind w:firstLine="600"/>
      </w:pPr>
      <w:r>
        <w:rPr>
          <w:rFonts w:hint="eastAsia"/>
          <w:lang w:bidi="ar"/>
        </w:rPr>
        <w:t>落实“谁审批谁监管”工作要求，明晰审批管理权限，严格以规划为依据审批建设殡葬设施及运营管理。</w:t>
      </w:r>
    </w:p>
    <w:p>
      <w:pPr>
        <w:pStyle w:val="5"/>
        <w:spacing w:before="211" w:after="211"/>
        <w:ind w:left="310" w:right="300"/>
      </w:pPr>
      <w:bookmarkStart w:id="140" w:name="_Toc219817815"/>
      <w:bookmarkStart w:id="141" w:name="_Toc206512729"/>
      <w:bookmarkStart w:id="142" w:name="_Toc217988778"/>
      <w:r>
        <w:rPr>
          <w:rFonts w:hint="eastAsia"/>
        </w:rPr>
        <w:t>建立健全基本殡葬服务制度</w:t>
      </w:r>
      <w:bookmarkEnd w:id="140"/>
      <w:bookmarkEnd w:id="141"/>
      <w:bookmarkEnd w:id="142"/>
    </w:p>
    <w:p>
      <w:pPr>
        <w:ind w:firstLine="600"/>
        <w:rPr>
          <w:lang w:bidi="ar"/>
        </w:rPr>
      </w:pPr>
      <w:r>
        <w:rPr>
          <w:rFonts w:hint="eastAsia"/>
          <w:lang w:bidi="ar"/>
        </w:rPr>
        <w:t>建立健全</w:t>
      </w:r>
      <w:r>
        <w:rPr>
          <w:lang w:bidi="ar"/>
        </w:rPr>
        <w:t>基本殡葬服务制度。殡葬服务分为基础项目和非基础项目，实行清单化管理并动态调整，禁止在清单之外设立项目、收取费用。落实殡葬服务基础项目清单，将遗体接运、遗体存放、遗体告别、遗体火化、骨灰寄存、生态安葬、政府举办的殡葬服务机构提供的骨灰格位安葬等服务纳入清单。结合实际适当增加基础项目，收费标准由</w:t>
      </w:r>
      <w:r>
        <w:rPr>
          <w:rFonts w:hint="eastAsia"/>
          <w:lang w:bidi="ar"/>
        </w:rPr>
        <w:t>区级</w:t>
      </w:r>
      <w:r>
        <w:rPr>
          <w:lang w:bidi="ar"/>
        </w:rPr>
        <w:t>价格主管部门制定。合理确定殡葬服务非基础项目清单，对清单内项</w:t>
      </w:r>
      <w:r>
        <w:rPr>
          <w:rFonts w:hint="eastAsia"/>
          <w:lang w:bidi="ar"/>
        </w:rPr>
        <w:t>目收费依法严格管理。</w:t>
      </w:r>
    </w:p>
    <w:p>
      <w:pPr>
        <w:pStyle w:val="4"/>
        <w:spacing w:before="211" w:after="211"/>
      </w:pPr>
      <w:bookmarkStart w:id="143" w:name="_Toc219817816"/>
      <w:bookmarkStart w:id="144" w:name="_Toc206512733"/>
      <w:bookmarkStart w:id="145" w:name="OLE_LINK3"/>
      <w:bookmarkStart w:id="146" w:name="OLE_LINK1"/>
      <w:r>
        <w:t>第三节</w:t>
      </w:r>
      <w:r>
        <w:rPr>
          <w:rFonts w:hint="eastAsia"/>
        </w:rPr>
        <w:t xml:space="preserve"> </w:t>
      </w:r>
      <w:r>
        <w:t>推动绿色殡葬</w:t>
      </w:r>
      <w:bookmarkEnd w:id="143"/>
      <w:bookmarkEnd w:id="144"/>
    </w:p>
    <w:p>
      <w:pPr>
        <w:pStyle w:val="5"/>
        <w:spacing w:before="211" w:after="211"/>
        <w:ind w:left="310" w:right="300"/>
      </w:pPr>
      <w:bookmarkStart w:id="147" w:name="_Toc217988780"/>
      <w:bookmarkStart w:id="148" w:name="_Toc206512734"/>
      <w:bookmarkStart w:id="149" w:name="_Toc219817817"/>
      <w:bookmarkStart w:id="150" w:name="OLE_LINK136"/>
      <w:bookmarkStart w:id="151" w:name="OLE_LINK135"/>
      <w:r>
        <w:t>推进移风易俗</w:t>
      </w:r>
      <w:bookmarkEnd w:id="147"/>
      <w:bookmarkEnd w:id="148"/>
      <w:r>
        <w:rPr>
          <w:rFonts w:hint="eastAsia"/>
        </w:rPr>
        <w:t>，树立生态环保的殡葬新风尚</w:t>
      </w:r>
      <w:bookmarkEnd w:id="149"/>
    </w:p>
    <w:bookmarkEnd w:id="150"/>
    <w:bookmarkEnd w:id="151"/>
    <w:p>
      <w:pPr>
        <w:ind w:firstLine="600"/>
      </w:pPr>
      <w:r>
        <w:rPr>
          <w:rFonts w:hint="eastAsia"/>
          <w:lang w:bidi="ar"/>
        </w:rPr>
        <w:t>强化政策激励与宣传引导，提高群众认同度参与度，持续推进移风易俗。</w:t>
      </w:r>
    </w:p>
    <w:p>
      <w:pPr>
        <w:ind w:firstLine="600"/>
      </w:pPr>
      <w:r>
        <w:rPr>
          <w:rFonts w:hint="eastAsia"/>
          <w:lang w:bidi="ar"/>
        </w:rPr>
        <w:t>以殡葬服务机构和社区（村）为平台，充分发挥新媒体传播优势，深入宣传殡葬法规政策，培育推广新型殡葬礼仪，普及科学知识，传递文明理念，引导群众转变观念、理性消费、革除陋俗，树立厚养薄葬、文明节俭、生态环保的殡葬新风尚。</w:t>
      </w:r>
    </w:p>
    <w:p>
      <w:pPr>
        <w:ind w:firstLine="600"/>
      </w:pPr>
      <w:r>
        <w:rPr>
          <w:rFonts w:hint="eastAsia"/>
          <w:lang w:bidi="ar"/>
        </w:rPr>
        <w:t>把移风易俗与美丽乡村建设相结合，指导完善村规民约，明确陋习与新风的界限。稳妥有序推进散埋乱葬治理，改善农村社区环境，遏制大操大办、相互攀比等陈规陋习。</w:t>
      </w:r>
    </w:p>
    <w:p>
      <w:pPr>
        <w:ind w:firstLine="600"/>
        <w:rPr>
          <w:lang w:bidi="ar"/>
        </w:rPr>
      </w:pPr>
      <w:r>
        <w:rPr>
          <w:rFonts w:hint="eastAsia"/>
          <w:lang w:bidi="ar"/>
        </w:rPr>
        <w:t>针对殡葬改革工作的特殊性和敏感性，坚持改革力度、发展速度、群众承受程度相结合，倾听群众意见呼声，持续稳步推进移风易俗。坚持疏堵结合，针对基本殡葬服务保障、节地生态安葬奖励、文明祭祀行为引导等重点方面，加快出台鼓励性、引导性政策措施，完善服务设施，提升服务管理水平，以先进的设施、优质的服务、有力的保障赢得群众的认可与支持。</w:t>
      </w:r>
    </w:p>
    <w:p>
      <w:pPr>
        <w:pStyle w:val="5"/>
        <w:spacing w:before="211" w:after="211"/>
        <w:ind w:left="310" w:right="300"/>
      </w:pPr>
      <w:bookmarkStart w:id="152" w:name="_Toc206512735"/>
      <w:bookmarkStart w:id="153" w:name="_Toc217988781"/>
      <w:bookmarkStart w:id="154" w:name="_Toc219817818"/>
      <w:r>
        <w:t>加强精细化设计</w:t>
      </w:r>
      <w:bookmarkEnd w:id="152"/>
      <w:bookmarkEnd w:id="153"/>
      <w:r>
        <w:rPr>
          <w:rFonts w:hint="eastAsia"/>
        </w:rPr>
        <w:t>，</w:t>
      </w:r>
      <w:r>
        <w:rPr>
          <w:rFonts w:ascii="仿宋_GB2312" w:hAnsi="仿宋_GB2312" w:eastAsia="仿宋_GB2312" w:cs="仿宋_GB2312"/>
          <w:lang w:bidi="ar"/>
        </w:rPr>
        <w:t>打造现代化生态</w:t>
      </w:r>
      <w:r>
        <w:rPr>
          <w:rFonts w:hint="eastAsia" w:ascii="仿宋_GB2312" w:hAnsi="仿宋_GB2312" w:eastAsia="仿宋_GB2312" w:cs="仿宋_GB2312"/>
          <w:lang w:bidi="ar"/>
        </w:rPr>
        <w:t>人文</w:t>
      </w:r>
      <w:r>
        <w:rPr>
          <w:rFonts w:ascii="仿宋_GB2312" w:hAnsi="仿宋_GB2312" w:eastAsia="仿宋_GB2312" w:cs="仿宋_GB2312"/>
          <w:lang w:bidi="ar"/>
        </w:rPr>
        <w:t>殡葬设施</w:t>
      </w:r>
      <w:bookmarkEnd w:id="154"/>
    </w:p>
    <w:p>
      <w:pPr>
        <w:ind w:firstLine="600"/>
      </w:pPr>
      <w:r>
        <w:rPr>
          <w:rFonts w:hint="eastAsia"/>
          <w:lang w:bidi="ar"/>
        </w:rPr>
        <w:t>以艺术化设计改变公众对殡葬设施的固定印象，提升殡葬设施与景观环境的协调性，提高环境美学品位，有机融入自然、生命和艺术主题，打造融绿色、生态、人文为一体的现代化生态殡葬设施。提高公墓绿化覆盖率，充分发挥绿色植物在美化环境、舒缓气氛、降尘降噪等方面的积极作用。加大配套设施建设和管理维护力度，从丧属的需求出发，对等候区、休息室、追思场所、洗手间等配套服务设施进行合理设计和布局，优化祭扫服务体验。</w:t>
      </w:r>
    </w:p>
    <w:p>
      <w:pPr>
        <w:pStyle w:val="5"/>
        <w:spacing w:before="211" w:after="211"/>
        <w:ind w:left="310" w:right="300"/>
      </w:pPr>
      <w:bookmarkStart w:id="155" w:name="_Toc206512737"/>
      <w:bookmarkStart w:id="156" w:name="_Toc217988782"/>
      <w:bookmarkStart w:id="157" w:name="_Toc219817819"/>
      <w:r>
        <w:rPr>
          <w:rFonts w:hint="eastAsia"/>
        </w:rPr>
        <w:t>完善公共交通</w:t>
      </w:r>
      <w:bookmarkEnd w:id="155"/>
      <w:bookmarkEnd w:id="156"/>
      <w:r>
        <w:rPr>
          <w:rFonts w:hint="eastAsia"/>
        </w:rPr>
        <w:t>，</w:t>
      </w:r>
      <w:r>
        <w:rPr>
          <w:rFonts w:ascii="Segoe UI" w:hAnsi="Segoe UI" w:cs="Segoe UI"/>
          <w:color w:val="0D0D0D"/>
          <w:shd w:val="clear" w:color="auto" w:fill="FFFFFF"/>
        </w:rPr>
        <w:t>倡导绿色低碳祭扫出行</w:t>
      </w:r>
      <w:bookmarkEnd w:id="157"/>
    </w:p>
    <w:p>
      <w:pPr>
        <w:ind w:firstLine="600"/>
        <w:rPr>
          <w:lang w:bidi="ar"/>
        </w:rPr>
      </w:pPr>
      <w:bookmarkStart w:id="158" w:name="OLE_LINK18"/>
      <w:bookmarkStart w:id="159" w:name="OLE_LINK19"/>
      <w:r>
        <w:rPr>
          <w:rFonts w:hint="eastAsia"/>
          <w:lang w:bidi="ar"/>
        </w:rPr>
        <w:t>建立以公共交通为导向的殡葬设施交通支撑系统，多途径保障高峰期公众祭扫出行需求。</w:t>
      </w:r>
      <w:bookmarkEnd w:id="158"/>
      <w:bookmarkEnd w:id="159"/>
      <w:r>
        <w:rPr>
          <w:rFonts w:hint="eastAsia"/>
          <w:lang w:bidi="ar"/>
        </w:rPr>
        <w:t>规模较大的公墓周边规划公交线路。在祭扫高峰期，应有针对性地提高发车频率，或者开通临时祭扫专线，倡导绿色低碳祭扫出行。</w:t>
      </w:r>
    </w:p>
    <w:p>
      <w:pPr>
        <w:pStyle w:val="4"/>
        <w:spacing w:before="211" w:after="211"/>
      </w:pPr>
      <w:r>
        <w:rPr>
          <w:rFonts w:hint="eastAsia"/>
        </w:rPr>
        <w:t>第四节 推进智慧殡葬</w:t>
      </w:r>
    </w:p>
    <w:p>
      <w:pPr>
        <w:pStyle w:val="5"/>
        <w:spacing w:before="211" w:after="211"/>
        <w:ind w:left="310" w:right="300"/>
      </w:pPr>
      <w:bookmarkStart w:id="160" w:name="_Toc206512738"/>
      <w:bookmarkStart w:id="161" w:name="_Toc217988783"/>
      <w:bookmarkStart w:id="162" w:name="_Toc219817820"/>
      <w:r>
        <w:rPr>
          <w:rFonts w:hint="eastAsia"/>
        </w:rPr>
        <w:t>推进智慧殡葬</w:t>
      </w:r>
      <w:bookmarkEnd w:id="160"/>
      <w:bookmarkEnd w:id="161"/>
      <w:r>
        <w:rPr>
          <w:rFonts w:hint="eastAsia"/>
        </w:rPr>
        <w:t>，推动多元化殡葬服务和监管方式</w:t>
      </w:r>
      <w:bookmarkEnd w:id="162"/>
    </w:p>
    <w:p>
      <w:pPr>
        <w:ind w:firstLine="600"/>
      </w:pPr>
      <w:bookmarkStart w:id="163" w:name="OLE_LINK133"/>
      <w:bookmarkStart w:id="164" w:name="OLE_LINK134"/>
      <w:r>
        <w:rPr>
          <w:rFonts w:hint="eastAsia"/>
          <w:lang w:bidi="ar"/>
        </w:rPr>
        <w:t>发挥互联网、大数据在殡葬改革宣传、殡葬行业监管、殡葬服务、祭扫追思方面的积极作用，推进智慧殡葬建设。构建殡葬管理服务信息平台，推动跨层级、跨系统、跨部门殡葬信息、死亡信息互联互通共享。提高殡葬在线政务服务水平，方便群众在线获得权威快捷的信息支持，提升政务服务质量。推动殡葬服务线上线下融合发展，推广网上预约、合同网签、远程告别、网上支付、网络祭扫、网上评价投诉等服务。推进殡葬大数据治理，建立基础殡葬信息数据库，加强和改进殡葬服务监管，治理网络虚假有害殡葬服务信息和服务项目。</w:t>
      </w:r>
    </w:p>
    <w:bookmarkEnd w:id="145"/>
    <w:bookmarkEnd w:id="146"/>
    <w:bookmarkEnd w:id="163"/>
    <w:bookmarkEnd w:id="164"/>
    <w:p>
      <w:pPr>
        <w:ind w:firstLine="0" w:firstLineChars="0"/>
        <w:rPr>
          <w:lang w:bidi="ar"/>
        </w:rPr>
      </w:pPr>
    </w:p>
    <w:p>
      <w:pPr>
        <w:ind w:firstLine="0" w:firstLineChars="0"/>
        <w:rPr>
          <w:lang w:bidi="ar"/>
        </w:rPr>
      </w:pPr>
    </w:p>
    <w:p>
      <w:pPr>
        <w:ind w:firstLine="0" w:firstLineChars="0"/>
        <w:rPr>
          <w:lang w:bidi="ar"/>
        </w:rPr>
      </w:pPr>
      <w:bookmarkStart w:id="165" w:name="_GoBack"/>
      <w:bookmarkEnd w:id="165"/>
    </w:p>
    <w:p>
      <w:pPr>
        <w:ind w:firstLine="0" w:firstLineChars="0"/>
        <w:rPr>
          <w:lang w:bidi="ar"/>
        </w:rPr>
      </w:pPr>
      <w:r>
        <mc:AlternateContent>
          <mc:Choice Requires="wps">
            <w:drawing>
              <wp:anchor distT="0" distB="0" distL="114300" distR="114300" simplePos="0" relativeHeight="251659264" behindDoc="0" locked="0" layoutInCell="1" allowOverlap="1">
                <wp:simplePos x="0" y="0"/>
                <wp:positionH relativeFrom="column">
                  <wp:posOffset>-189230</wp:posOffset>
                </wp:positionH>
                <wp:positionV relativeFrom="paragraph">
                  <wp:posOffset>2623185</wp:posOffset>
                </wp:positionV>
                <wp:extent cx="949960" cy="546100"/>
                <wp:effectExtent l="0" t="0" r="21590" b="25400"/>
                <wp:wrapNone/>
                <wp:docPr id="2" name="矩形 2" descr="P870#y1"/>
                <wp:cNvGraphicFramePr/>
                <a:graphic xmlns:a="http://schemas.openxmlformats.org/drawingml/2006/main">
                  <a:graphicData uri="http://schemas.microsoft.com/office/word/2010/wordprocessingShape">
                    <wps:wsp>
                      <wps:cNvSpPr/>
                      <wps:spPr>
                        <a:xfrm>
                          <a:off x="0" y="0"/>
                          <a:ext cx="950026" cy="54626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P870#y1" style="position:absolute;left:0pt;margin-left:-14.9pt;margin-top:206.55pt;height:43pt;width:74.8pt;z-index:251659264;v-text-anchor:middle;mso-width-relative:page;mso-height-relative:page;" fillcolor="#FFFFFF [3212]" filled="t" stroked="t" coordsize="21600,21600" o:gfxdata="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SkdIg2QAAAAsBAAAPAAAAAAAAAAEAIAAAACIAAABkcnMvZG93bnJldi54bWxQ&#10;SwECFAAUAAAACACHTuJA5Guq32gCAADsBAAADgAAAAAAAAABACAAAAAoAQAAZHJzL2Uyb0RvYy54&#10;bWxQSwUGAAAAAAYABgBZAQAAAgYAAAAA&#10;">
                <v:fill on="t" focussize="0,0"/>
                <v:stroke weight="2pt" color="#FFFFFF [3212]" joinstyle="round"/>
                <v:imagedata o:title=""/>
                <o:lock v:ext="edit" aspectratio="f"/>
              </v:rect>
            </w:pict>
          </mc:Fallback>
        </mc:AlternateContent>
      </w:r>
    </w:p>
    <w:sectPr>
      <w:type w:val="continuous"/>
      <w:pgSz w:w="11906" w:h="16838"/>
      <w:pgMar w:top="1440" w:right="1800" w:bottom="1440" w:left="1800" w:header="851" w:footer="992" w:gutter="0"/>
      <w:cols w:space="425" w:num="1"/>
      <w:docGrid w:type="lines" w:linePitch="42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55"/>
          <w:ind w:firstLine="360"/>
          <w:jc w:val="center"/>
        </w:pPr>
        <w:r>
          <w:fldChar w:fldCharType="begin"/>
        </w:r>
        <w:r>
          <w:instrText xml:space="preserve">PAGE   \* MERGEFORMAT</w:instrText>
        </w:r>
        <w:r>
          <w:fldChar w:fldCharType="separate"/>
        </w:r>
        <w:r>
          <w:rPr>
            <w:lang w:val="zh-CN"/>
          </w:rPr>
          <w:t>3</w:t>
        </w:r>
        <w:r>
          <w:fldChar w:fldCharType="end"/>
        </w:r>
      </w:p>
    </w:sdtContent>
  </w:sdt>
  <w:p>
    <w:pPr>
      <w:pStyle w:val="5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15440904"/>
    <w:multiLevelType w:val="multilevel"/>
    <w:tmpl w:val="15440904"/>
    <w:lvl w:ilvl="0" w:tentative="0">
      <w:start w:val="1"/>
      <w:numFmt w:val="decimal"/>
      <w:suff w:val="nothing"/>
      <w:lvlText w:val="%1."/>
      <w:lvlJc w:val="left"/>
      <w:pPr>
        <w:ind w:left="0" w:firstLine="620"/>
      </w:pPr>
      <w:rPr>
        <w:rFonts w:hint="eastAsia"/>
      </w:rPr>
    </w:lvl>
    <w:lvl w:ilvl="1" w:tentative="0">
      <w:start w:val="1"/>
      <w:numFmt w:val="lowerLetter"/>
      <w:lvlText w:val="%2)"/>
      <w:lvlJc w:val="left"/>
      <w:pPr>
        <w:ind w:left="1500" w:hanging="440"/>
      </w:pPr>
    </w:lvl>
    <w:lvl w:ilvl="2" w:tentative="0">
      <w:start w:val="1"/>
      <w:numFmt w:val="lowerRoman"/>
      <w:lvlText w:val="%3."/>
      <w:lvlJc w:val="right"/>
      <w:pPr>
        <w:ind w:left="1940" w:hanging="440"/>
      </w:pPr>
    </w:lvl>
    <w:lvl w:ilvl="3" w:tentative="0">
      <w:start w:val="1"/>
      <w:numFmt w:val="decimal"/>
      <w:lvlText w:val="%4."/>
      <w:lvlJc w:val="left"/>
      <w:pPr>
        <w:ind w:left="2380" w:hanging="440"/>
      </w:pPr>
    </w:lvl>
    <w:lvl w:ilvl="4" w:tentative="0">
      <w:start w:val="1"/>
      <w:numFmt w:val="lowerLetter"/>
      <w:lvlText w:val="%5)"/>
      <w:lvlJc w:val="left"/>
      <w:pPr>
        <w:ind w:left="2820" w:hanging="440"/>
      </w:pPr>
    </w:lvl>
    <w:lvl w:ilvl="5" w:tentative="0">
      <w:start w:val="1"/>
      <w:numFmt w:val="lowerRoman"/>
      <w:lvlText w:val="%6."/>
      <w:lvlJc w:val="right"/>
      <w:pPr>
        <w:ind w:left="3260" w:hanging="440"/>
      </w:pPr>
    </w:lvl>
    <w:lvl w:ilvl="6" w:tentative="0">
      <w:start w:val="1"/>
      <w:numFmt w:val="decimal"/>
      <w:lvlText w:val="%7."/>
      <w:lvlJc w:val="left"/>
      <w:pPr>
        <w:ind w:left="3700" w:hanging="440"/>
      </w:pPr>
    </w:lvl>
    <w:lvl w:ilvl="7" w:tentative="0">
      <w:start w:val="1"/>
      <w:numFmt w:val="lowerLetter"/>
      <w:lvlText w:val="%8)"/>
      <w:lvlJc w:val="left"/>
      <w:pPr>
        <w:ind w:left="4140" w:hanging="440"/>
      </w:pPr>
    </w:lvl>
    <w:lvl w:ilvl="8" w:tentative="0">
      <w:start w:val="1"/>
      <w:numFmt w:val="lowerRoman"/>
      <w:lvlText w:val="%9."/>
      <w:lvlJc w:val="right"/>
      <w:pPr>
        <w:ind w:left="4580" w:hanging="440"/>
      </w:pPr>
    </w:lvl>
  </w:abstractNum>
  <w:abstractNum w:abstractNumId="11">
    <w:nsid w:val="657E614E"/>
    <w:multiLevelType w:val="multilevel"/>
    <w:tmpl w:val="657E614E"/>
    <w:lvl w:ilvl="0" w:tentative="0">
      <w:start w:val="1"/>
      <w:numFmt w:val="decimal"/>
      <w:pStyle w:val="5"/>
      <w:suff w:val="space"/>
      <w:lvlText w:val="第%1条"/>
      <w:lvlJc w:val="left"/>
      <w:pPr>
        <w:ind w:left="4395" w:hanging="284"/>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76090D7C"/>
    <w:multiLevelType w:val="multilevel"/>
    <w:tmpl w:val="76090D7C"/>
    <w:lvl w:ilvl="0" w:tentative="0">
      <w:start w:val="1"/>
      <w:numFmt w:val="decimal"/>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9"/>
  <w:drawingGridHorizontalSpacing w:val="155"/>
  <w:drawingGridVerticalSpacing w:val="211"/>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2B"/>
    <w:rsid w:val="000038D7"/>
    <w:rsid w:val="00003996"/>
    <w:rsid w:val="00016E54"/>
    <w:rsid w:val="00023470"/>
    <w:rsid w:val="00025BD5"/>
    <w:rsid w:val="00026E9A"/>
    <w:rsid w:val="00041936"/>
    <w:rsid w:val="00047139"/>
    <w:rsid w:val="00050288"/>
    <w:rsid w:val="00050CA4"/>
    <w:rsid w:val="000512FD"/>
    <w:rsid w:val="0005332A"/>
    <w:rsid w:val="00057D5F"/>
    <w:rsid w:val="00060311"/>
    <w:rsid w:val="000625A3"/>
    <w:rsid w:val="000768E8"/>
    <w:rsid w:val="0007766C"/>
    <w:rsid w:val="00080D18"/>
    <w:rsid w:val="000A34F3"/>
    <w:rsid w:val="000B49FE"/>
    <w:rsid w:val="000B51F1"/>
    <w:rsid w:val="000B6FBA"/>
    <w:rsid w:val="000D0E24"/>
    <w:rsid w:val="000D4755"/>
    <w:rsid w:val="000D5FB6"/>
    <w:rsid w:val="000E0019"/>
    <w:rsid w:val="000E1F49"/>
    <w:rsid w:val="000E31A4"/>
    <w:rsid w:val="000F00F9"/>
    <w:rsid w:val="000F135F"/>
    <w:rsid w:val="000F328E"/>
    <w:rsid w:val="000F6437"/>
    <w:rsid w:val="00110EAF"/>
    <w:rsid w:val="001154B9"/>
    <w:rsid w:val="001163B7"/>
    <w:rsid w:val="00120E91"/>
    <w:rsid w:val="001246CA"/>
    <w:rsid w:val="00125005"/>
    <w:rsid w:val="0012533C"/>
    <w:rsid w:val="00126D91"/>
    <w:rsid w:val="00133F6A"/>
    <w:rsid w:val="0013767F"/>
    <w:rsid w:val="00141766"/>
    <w:rsid w:val="00141DB7"/>
    <w:rsid w:val="001659C9"/>
    <w:rsid w:val="00167E73"/>
    <w:rsid w:val="00167E75"/>
    <w:rsid w:val="0017087F"/>
    <w:rsid w:val="00176C9C"/>
    <w:rsid w:val="00176DAB"/>
    <w:rsid w:val="001923B4"/>
    <w:rsid w:val="00192683"/>
    <w:rsid w:val="00194814"/>
    <w:rsid w:val="0019619D"/>
    <w:rsid w:val="001966A5"/>
    <w:rsid w:val="001A406D"/>
    <w:rsid w:val="001A4FE2"/>
    <w:rsid w:val="001A77A7"/>
    <w:rsid w:val="001B2EEF"/>
    <w:rsid w:val="001B46AD"/>
    <w:rsid w:val="001B6B07"/>
    <w:rsid w:val="001E2A05"/>
    <w:rsid w:val="001E4514"/>
    <w:rsid w:val="00201CA9"/>
    <w:rsid w:val="002020F5"/>
    <w:rsid w:val="00204711"/>
    <w:rsid w:val="00213230"/>
    <w:rsid w:val="00223A3B"/>
    <w:rsid w:val="00227469"/>
    <w:rsid w:val="00233DD0"/>
    <w:rsid w:val="002457D3"/>
    <w:rsid w:val="00256B81"/>
    <w:rsid w:val="0025767E"/>
    <w:rsid w:val="00260E56"/>
    <w:rsid w:val="00264FBA"/>
    <w:rsid w:val="002710C1"/>
    <w:rsid w:val="00277EA8"/>
    <w:rsid w:val="00277F2F"/>
    <w:rsid w:val="00291764"/>
    <w:rsid w:val="002924EA"/>
    <w:rsid w:val="00293BE6"/>
    <w:rsid w:val="00295D80"/>
    <w:rsid w:val="002A77A1"/>
    <w:rsid w:val="002B4F37"/>
    <w:rsid w:val="002B767F"/>
    <w:rsid w:val="002C3746"/>
    <w:rsid w:val="002C4314"/>
    <w:rsid w:val="002D5EF4"/>
    <w:rsid w:val="002D75AE"/>
    <w:rsid w:val="002F00A1"/>
    <w:rsid w:val="002F07D1"/>
    <w:rsid w:val="002F190F"/>
    <w:rsid w:val="002F3B5D"/>
    <w:rsid w:val="002F69E9"/>
    <w:rsid w:val="002F726A"/>
    <w:rsid w:val="002F7B7B"/>
    <w:rsid w:val="00303B50"/>
    <w:rsid w:val="0030662B"/>
    <w:rsid w:val="003266EE"/>
    <w:rsid w:val="00336B6F"/>
    <w:rsid w:val="00340534"/>
    <w:rsid w:val="00342664"/>
    <w:rsid w:val="00343F1E"/>
    <w:rsid w:val="00345F26"/>
    <w:rsid w:val="00350331"/>
    <w:rsid w:val="00357324"/>
    <w:rsid w:val="00361342"/>
    <w:rsid w:val="00370883"/>
    <w:rsid w:val="00375CF7"/>
    <w:rsid w:val="00380D26"/>
    <w:rsid w:val="00383FC1"/>
    <w:rsid w:val="00393DEE"/>
    <w:rsid w:val="003950BB"/>
    <w:rsid w:val="003A3FA9"/>
    <w:rsid w:val="003A5A37"/>
    <w:rsid w:val="003B21DA"/>
    <w:rsid w:val="003B6AF2"/>
    <w:rsid w:val="003C2292"/>
    <w:rsid w:val="003C6ED8"/>
    <w:rsid w:val="003D5CDF"/>
    <w:rsid w:val="003D7B37"/>
    <w:rsid w:val="003E3822"/>
    <w:rsid w:val="003F423D"/>
    <w:rsid w:val="00403B3C"/>
    <w:rsid w:val="00404E1E"/>
    <w:rsid w:val="00407B37"/>
    <w:rsid w:val="00412382"/>
    <w:rsid w:val="004138F0"/>
    <w:rsid w:val="00417BB0"/>
    <w:rsid w:val="004333F2"/>
    <w:rsid w:val="00442BA6"/>
    <w:rsid w:val="00446992"/>
    <w:rsid w:val="004513D0"/>
    <w:rsid w:val="00454C6F"/>
    <w:rsid w:val="004610E1"/>
    <w:rsid w:val="00465A9A"/>
    <w:rsid w:val="00477BDC"/>
    <w:rsid w:val="00482EB6"/>
    <w:rsid w:val="004920A7"/>
    <w:rsid w:val="00492885"/>
    <w:rsid w:val="00493287"/>
    <w:rsid w:val="0049542F"/>
    <w:rsid w:val="00496139"/>
    <w:rsid w:val="004A0493"/>
    <w:rsid w:val="004A2F74"/>
    <w:rsid w:val="004A51FC"/>
    <w:rsid w:val="004B01D7"/>
    <w:rsid w:val="004B2667"/>
    <w:rsid w:val="004B5261"/>
    <w:rsid w:val="004C2C01"/>
    <w:rsid w:val="004C49B3"/>
    <w:rsid w:val="004C5213"/>
    <w:rsid w:val="004C6F46"/>
    <w:rsid w:val="004D7B70"/>
    <w:rsid w:val="004E30A8"/>
    <w:rsid w:val="004E5F2F"/>
    <w:rsid w:val="004F062F"/>
    <w:rsid w:val="004F1CBC"/>
    <w:rsid w:val="004F2E20"/>
    <w:rsid w:val="004F4694"/>
    <w:rsid w:val="004F5006"/>
    <w:rsid w:val="005020EF"/>
    <w:rsid w:val="005022B1"/>
    <w:rsid w:val="00512F59"/>
    <w:rsid w:val="005164B4"/>
    <w:rsid w:val="00521FBD"/>
    <w:rsid w:val="00523ABC"/>
    <w:rsid w:val="00527B1A"/>
    <w:rsid w:val="00527E3D"/>
    <w:rsid w:val="00540F65"/>
    <w:rsid w:val="00541926"/>
    <w:rsid w:val="00550006"/>
    <w:rsid w:val="005517D6"/>
    <w:rsid w:val="00552206"/>
    <w:rsid w:val="00564E77"/>
    <w:rsid w:val="005718D7"/>
    <w:rsid w:val="00572F2E"/>
    <w:rsid w:val="00575F8D"/>
    <w:rsid w:val="005870C8"/>
    <w:rsid w:val="00587B49"/>
    <w:rsid w:val="00590D06"/>
    <w:rsid w:val="005A0D83"/>
    <w:rsid w:val="005A5361"/>
    <w:rsid w:val="005A71FE"/>
    <w:rsid w:val="005B6E72"/>
    <w:rsid w:val="005B7AB9"/>
    <w:rsid w:val="005C29EE"/>
    <w:rsid w:val="005D4727"/>
    <w:rsid w:val="005D776D"/>
    <w:rsid w:val="005E7374"/>
    <w:rsid w:val="005F73BE"/>
    <w:rsid w:val="006056D4"/>
    <w:rsid w:val="006131B1"/>
    <w:rsid w:val="0061748B"/>
    <w:rsid w:val="00632985"/>
    <w:rsid w:val="006413C3"/>
    <w:rsid w:val="00642C79"/>
    <w:rsid w:val="00650FF4"/>
    <w:rsid w:val="006520A2"/>
    <w:rsid w:val="00652801"/>
    <w:rsid w:val="00654132"/>
    <w:rsid w:val="0065413B"/>
    <w:rsid w:val="006615A5"/>
    <w:rsid w:val="00675504"/>
    <w:rsid w:val="00677A4B"/>
    <w:rsid w:val="0068008F"/>
    <w:rsid w:val="00681ACA"/>
    <w:rsid w:val="00686CC6"/>
    <w:rsid w:val="006A37FC"/>
    <w:rsid w:val="006C18A1"/>
    <w:rsid w:val="006C28B9"/>
    <w:rsid w:val="006C52D2"/>
    <w:rsid w:val="006D7F8A"/>
    <w:rsid w:val="006E4985"/>
    <w:rsid w:val="006E6B8F"/>
    <w:rsid w:val="006E7901"/>
    <w:rsid w:val="006E7CF5"/>
    <w:rsid w:val="006F0D77"/>
    <w:rsid w:val="006F39B8"/>
    <w:rsid w:val="006F43B5"/>
    <w:rsid w:val="0070127A"/>
    <w:rsid w:val="00701302"/>
    <w:rsid w:val="00703D22"/>
    <w:rsid w:val="0071037D"/>
    <w:rsid w:val="0071217D"/>
    <w:rsid w:val="0072273C"/>
    <w:rsid w:val="0073099D"/>
    <w:rsid w:val="007341F1"/>
    <w:rsid w:val="007446CB"/>
    <w:rsid w:val="0074638E"/>
    <w:rsid w:val="0075068D"/>
    <w:rsid w:val="00754347"/>
    <w:rsid w:val="00757092"/>
    <w:rsid w:val="00766154"/>
    <w:rsid w:val="0077724D"/>
    <w:rsid w:val="007847E4"/>
    <w:rsid w:val="00794261"/>
    <w:rsid w:val="007A15B4"/>
    <w:rsid w:val="007A255B"/>
    <w:rsid w:val="007A4CB3"/>
    <w:rsid w:val="007A6C49"/>
    <w:rsid w:val="007B070F"/>
    <w:rsid w:val="007B4E3F"/>
    <w:rsid w:val="007B6C46"/>
    <w:rsid w:val="007C1685"/>
    <w:rsid w:val="007C4299"/>
    <w:rsid w:val="007C499A"/>
    <w:rsid w:val="007D4CDC"/>
    <w:rsid w:val="007D6100"/>
    <w:rsid w:val="007E2F2B"/>
    <w:rsid w:val="007E3FF4"/>
    <w:rsid w:val="007E4203"/>
    <w:rsid w:val="007F2C98"/>
    <w:rsid w:val="00802BAF"/>
    <w:rsid w:val="00806E9B"/>
    <w:rsid w:val="008076A2"/>
    <w:rsid w:val="008076E5"/>
    <w:rsid w:val="00826063"/>
    <w:rsid w:val="00831444"/>
    <w:rsid w:val="00832789"/>
    <w:rsid w:val="00840273"/>
    <w:rsid w:val="00846490"/>
    <w:rsid w:val="00847524"/>
    <w:rsid w:val="008479A9"/>
    <w:rsid w:val="0085365E"/>
    <w:rsid w:val="00862931"/>
    <w:rsid w:val="008631B8"/>
    <w:rsid w:val="008751EA"/>
    <w:rsid w:val="00877071"/>
    <w:rsid w:val="008773C0"/>
    <w:rsid w:val="008911DE"/>
    <w:rsid w:val="00891A12"/>
    <w:rsid w:val="008B4136"/>
    <w:rsid w:val="008B7342"/>
    <w:rsid w:val="008C5B61"/>
    <w:rsid w:val="008D18C7"/>
    <w:rsid w:val="008D6948"/>
    <w:rsid w:val="008D6B73"/>
    <w:rsid w:val="008E072B"/>
    <w:rsid w:val="008E487B"/>
    <w:rsid w:val="008E603E"/>
    <w:rsid w:val="008E78D5"/>
    <w:rsid w:val="008F0AB1"/>
    <w:rsid w:val="008F3202"/>
    <w:rsid w:val="008F75D7"/>
    <w:rsid w:val="00906E87"/>
    <w:rsid w:val="0091043A"/>
    <w:rsid w:val="00911F04"/>
    <w:rsid w:val="00921AD7"/>
    <w:rsid w:val="00925415"/>
    <w:rsid w:val="00935432"/>
    <w:rsid w:val="009416B9"/>
    <w:rsid w:val="00943248"/>
    <w:rsid w:val="00943B76"/>
    <w:rsid w:val="00952614"/>
    <w:rsid w:val="00952796"/>
    <w:rsid w:val="009577B0"/>
    <w:rsid w:val="00963153"/>
    <w:rsid w:val="00963778"/>
    <w:rsid w:val="009638B9"/>
    <w:rsid w:val="0096637C"/>
    <w:rsid w:val="00966850"/>
    <w:rsid w:val="00980A0E"/>
    <w:rsid w:val="00984F19"/>
    <w:rsid w:val="00992A03"/>
    <w:rsid w:val="009B3250"/>
    <w:rsid w:val="009C28D7"/>
    <w:rsid w:val="009C707B"/>
    <w:rsid w:val="009D005B"/>
    <w:rsid w:val="009E2D8E"/>
    <w:rsid w:val="009E399E"/>
    <w:rsid w:val="009F1974"/>
    <w:rsid w:val="00A00969"/>
    <w:rsid w:val="00A151EC"/>
    <w:rsid w:val="00A340B4"/>
    <w:rsid w:val="00A359C6"/>
    <w:rsid w:val="00A44338"/>
    <w:rsid w:val="00A50FAC"/>
    <w:rsid w:val="00A54E3C"/>
    <w:rsid w:val="00A55792"/>
    <w:rsid w:val="00A65AC6"/>
    <w:rsid w:val="00A70FA7"/>
    <w:rsid w:val="00A74C36"/>
    <w:rsid w:val="00A75053"/>
    <w:rsid w:val="00A75948"/>
    <w:rsid w:val="00A7662D"/>
    <w:rsid w:val="00A777BD"/>
    <w:rsid w:val="00A8050A"/>
    <w:rsid w:val="00A87FBA"/>
    <w:rsid w:val="00A92734"/>
    <w:rsid w:val="00A96301"/>
    <w:rsid w:val="00AA0DE0"/>
    <w:rsid w:val="00AB2F6A"/>
    <w:rsid w:val="00AB3AE5"/>
    <w:rsid w:val="00AB56A6"/>
    <w:rsid w:val="00AB7757"/>
    <w:rsid w:val="00AC66DF"/>
    <w:rsid w:val="00AC6BD4"/>
    <w:rsid w:val="00AD15A4"/>
    <w:rsid w:val="00AE27C0"/>
    <w:rsid w:val="00AE37B0"/>
    <w:rsid w:val="00AE6FBA"/>
    <w:rsid w:val="00AF2D61"/>
    <w:rsid w:val="00AF3A6A"/>
    <w:rsid w:val="00AF552A"/>
    <w:rsid w:val="00B0461F"/>
    <w:rsid w:val="00B05C07"/>
    <w:rsid w:val="00B2194C"/>
    <w:rsid w:val="00B24E69"/>
    <w:rsid w:val="00B31292"/>
    <w:rsid w:val="00B429B8"/>
    <w:rsid w:val="00B45CE3"/>
    <w:rsid w:val="00B5075C"/>
    <w:rsid w:val="00B52C7A"/>
    <w:rsid w:val="00B57B5C"/>
    <w:rsid w:val="00B6779D"/>
    <w:rsid w:val="00B75667"/>
    <w:rsid w:val="00B80242"/>
    <w:rsid w:val="00B81CDA"/>
    <w:rsid w:val="00B848EB"/>
    <w:rsid w:val="00B86061"/>
    <w:rsid w:val="00B93E15"/>
    <w:rsid w:val="00B97E18"/>
    <w:rsid w:val="00BA177F"/>
    <w:rsid w:val="00BA46AB"/>
    <w:rsid w:val="00BA750D"/>
    <w:rsid w:val="00BD6379"/>
    <w:rsid w:val="00BD79AC"/>
    <w:rsid w:val="00BE06D1"/>
    <w:rsid w:val="00BE2214"/>
    <w:rsid w:val="00BE790B"/>
    <w:rsid w:val="00BF5620"/>
    <w:rsid w:val="00C07DFC"/>
    <w:rsid w:val="00C1095B"/>
    <w:rsid w:val="00C15BF9"/>
    <w:rsid w:val="00C220AA"/>
    <w:rsid w:val="00C5434B"/>
    <w:rsid w:val="00C61AB4"/>
    <w:rsid w:val="00C6796F"/>
    <w:rsid w:val="00C75B07"/>
    <w:rsid w:val="00C76CFA"/>
    <w:rsid w:val="00C8087A"/>
    <w:rsid w:val="00C966EB"/>
    <w:rsid w:val="00CB39EC"/>
    <w:rsid w:val="00CB40D8"/>
    <w:rsid w:val="00CB4E00"/>
    <w:rsid w:val="00CB5FCC"/>
    <w:rsid w:val="00CB6C80"/>
    <w:rsid w:val="00CB7FAA"/>
    <w:rsid w:val="00CC4BE9"/>
    <w:rsid w:val="00CC7631"/>
    <w:rsid w:val="00CC7BC8"/>
    <w:rsid w:val="00CD5512"/>
    <w:rsid w:val="00CE27FA"/>
    <w:rsid w:val="00CF0BF2"/>
    <w:rsid w:val="00CF182A"/>
    <w:rsid w:val="00CF4DD1"/>
    <w:rsid w:val="00CF7D5E"/>
    <w:rsid w:val="00D01FDB"/>
    <w:rsid w:val="00D05EB2"/>
    <w:rsid w:val="00D207C5"/>
    <w:rsid w:val="00D31263"/>
    <w:rsid w:val="00D45C20"/>
    <w:rsid w:val="00D53B92"/>
    <w:rsid w:val="00D5578B"/>
    <w:rsid w:val="00D614FE"/>
    <w:rsid w:val="00D62C14"/>
    <w:rsid w:val="00D70BB9"/>
    <w:rsid w:val="00D71BD0"/>
    <w:rsid w:val="00D73475"/>
    <w:rsid w:val="00D74C11"/>
    <w:rsid w:val="00D7742D"/>
    <w:rsid w:val="00D77BA5"/>
    <w:rsid w:val="00D819F4"/>
    <w:rsid w:val="00D82F8B"/>
    <w:rsid w:val="00D83610"/>
    <w:rsid w:val="00D91E7B"/>
    <w:rsid w:val="00D957BC"/>
    <w:rsid w:val="00D95FA9"/>
    <w:rsid w:val="00D97ED8"/>
    <w:rsid w:val="00DA3446"/>
    <w:rsid w:val="00DB3F48"/>
    <w:rsid w:val="00DC03F6"/>
    <w:rsid w:val="00DD2450"/>
    <w:rsid w:val="00DD642D"/>
    <w:rsid w:val="00DD658F"/>
    <w:rsid w:val="00DE20A7"/>
    <w:rsid w:val="00DE55B1"/>
    <w:rsid w:val="00DF3291"/>
    <w:rsid w:val="00DF41BB"/>
    <w:rsid w:val="00DF4324"/>
    <w:rsid w:val="00DF636D"/>
    <w:rsid w:val="00DF72BA"/>
    <w:rsid w:val="00E06F8A"/>
    <w:rsid w:val="00E10ADA"/>
    <w:rsid w:val="00E12B6E"/>
    <w:rsid w:val="00E147CF"/>
    <w:rsid w:val="00E30980"/>
    <w:rsid w:val="00E30DA1"/>
    <w:rsid w:val="00E401BB"/>
    <w:rsid w:val="00E43EA6"/>
    <w:rsid w:val="00E47BAB"/>
    <w:rsid w:val="00E51564"/>
    <w:rsid w:val="00E62275"/>
    <w:rsid w:val="00E6573C"/>
    <w:rsid w:val="00E6785B"/>
    <w:rsid w:val="00E716E6"/>
    <w:rsid w:val="00E729C1"/>
    <w:rsid w:val="00E76FB1"/>
    <w:rsid w:val="00E817DA"/>
    <w:rsid w:val="00E843E3"/>
    <w:rsid w:val="00E86192"/>
    <w:rsid w:val="00E87C81"/>
    <w:rsid w:val="00E9075A"/>
    <w:rsid w:val="00E909BC"/>
    <w:rsid w:val="00E949A4"/>
    <w:rsid w:val="00E963A2"/>
    <w:rsid w:val="00EA4FAD"/>
    <w:rsid w:val="00EC0D8E"/>
    <w:rsid w:val="00EC31C4"/>
    <w:rsid w:val="00EC7AE8"/>
    <w:rsid w:val="00F02B99"/>
    <w:rsid w:val="00F02EBA"/>
    <w:rsid w:val="00F0488E"/>
    <w:rsid w:val="00F073B4"/>
    <w:rsid w:val="00F07CF4"/>
    <w:rsid w:val="00F11B56"/>
    <w:rsid w:val="00F17B02"/>
    <w:rsid w:val="00F17CB8"/>
    <w:rsid w:val="00F224B7"/>
    <w:rsid w:val="00F30866"/>
    <w:rsid w:val="00F32601"/>
    <w:rsid w:val="00F41E2D"/>
    <w:rsid w:val="00F45CF0"/>
    <w:rsid w:val="00F52534"/>
    <w:rsid w:val="00F54072"/>
    <w:rsid w:val="00F72798"/>
    <w:rsid w:val="00F74220"/>
    <w:rsid w:val="00F802BE"/>
    <w:rsid w:val="00F85031"/>
    <w:rsid w:val="00F85AB0"/>
    <w:rsid w:val="00F86546"/>
    <w:rsid w:val="00F87D90"/>
    <w:rsid w:val="00F96FFD"/>
    <w:rsid w:val="00FA4E32"/>
    <w:rsid w:val="00FB14F2"/>
    <w:rsid w:val="00FB23B1"/>
    <w:rsid w:val="00FB4D19"/>
    <w:rsid w:val="00FB73D0"/>
    <w:rsid w:val="00FC0038"/>
    <w:rsid w:val="00FC48FD"/>
    <w:rsid w:val="00FD2763"/>
    <w:rsid w:val="00FD655B"/>
    <w:rsid w:val="00FD78D6"/>
    <w:rsid w:val="00FE0097"/>
    <w:rsid w:val="00FE73DA"/>
    <w:rsid w:val="041B6CAE"/>
    <w:rsid w:val="0B260413"/>
    <w:rsid w:val="0D181FDD"/>
    <w:rsid w:val="109E0A4B"/>
    <w:rsid w:val="122D2087"/>
    <w:rsid w:val="16257F81"/>
    <w:rsid w:val="211D3C0E"/>
    <w:rsid w:val="30032221"/>
    <w:rsid w:val="34EE0161"/>
    <w:rsid w:val="39CB2002"/>
    <w:rsid w:val="46D22C21"/>
    <w:rsid w:val="49AB1508"/>
    <w:rsid w:val="4AD60806"/>
    <w:rsid w:val="4BD9235C"/>
    <w:rsid w:val="50C25AB5"/>
    <w:rsid w:val="527A416D"/>
    <w:rsid w:val="544D5A49"/>
    <w:rsid w:val="57911D3D"/>
    <w:rsid w:val="5C910A31"/>
    <w:rsid w:val="5F3A5E60"/>
    <w:rsid w:val="5F6F6F5E"/>
    <w:rsid w:val="60DA0BF8"/>
    <w:rsid w:val="60EB4BB4"/>
    <w:rsid w:val="61C202E9"/>
    <w:rsid w:val="6585041D"/>
    <w:rsid w:val="692A3D9F"/>
    <w:rsid w:val="6D1014FE"/>
    <w:rsid w:val="71A52B5D"/>
    <w:rsid w:val="74C652C4"/>
    <w:rsid w:val="7D605B8A"/>
    <w:rsid w:val="FFFD6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semiHidden="0" w:name="toc 1"/>
    <w:lsdException w:qFormat="1" w:uiPriority="39" w:semiHidden="0" w:name="toc 2"/>
    <w:lsdException w:qFormat="1" w:uiPriority="39" w:semiHidden="0" w:name="toc 3"/>
    <w:lsdException w:qFormat="1" w:uiPriority="39" w:name="toc 4"/>
    <w:lsdException w:uiPriority="39" w:name="toc 5"/>
    <w:lsdException w:qFormat="1" w:uiPriority="39" w:name="toc 6"/>
    <w:lsdException w:qFormat="1" w:uiPriority="39" w:name="toc 7"/>
    <w:lsdException w:uiPriority="39" w:name="toc 8"/>
    <w:lsdException w:qFormat="1" w:uiPriority="39" w:name="toc 9"/>
    <w:lsdException w:qFormat="1"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qFormat="1" w:uiPriority="99" w:name="List Bullet 4"/>
    <w:lsdException w:uiPriority="99" w:name="List Bullet 5"/>
    <w:lsdException w:qFormat="1" w:uiPriority="99" w:name="List Number 2"/>
    <w:lsdException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200" w:firstLineChars="200"/>
      <w:jc w:val="both"/>
    </w:pPr>
    <w:rPr>
      <w:rFonts w:ascii="宋体" w:hAnsi="宋体" w:eastAsia="仿宋" w:cs="Times New Roman"/>
      <w:kern w:val="2"/>
      <w:sz w:val="30"/>
      <w:szCs w:val="28"/>
      <w:lang w:val="en-US" w:eastAsia="zh-CN" w:bidi="ar-SA"/>
    </w:rPr>
  </w:style>
  <w:style w:type="paragraph" w:styleId="3">
    <w:name w:val="heading 1"/>
    <w:basedOn w:val="1"/>
    <w:next w:val="1"/>
    <w:link w:val="94"/>
    <w:qFormat/>
    <w:uiPriority w:val="9"/>
    <w:pPr>
      <w:keepNext/>
      <w:keepLines/>
      <w:spacing w:after="100" w:afterLines="100" w:line="264" w:lineRule="auto"/>
      <w:ind w:firstLine="0" w:firstLineChars="0"/>
      <w:jc w:val="center"/>
      <w:outlineLvl w:val="0"/>
    </w:pPr>
    <w:rPr>
      <w:rFonts w:ascii="黑体" w:hAnsi="黑体" w:eastAsia="黑体"/>
      <w:b/>
      <w:bCs/>
      <w:color w:val="000000" w:themeColor="text1"/>
      <w:kern w:val="44"/>
      <w:sz w:val="44"/>
      <w:szCs w:val="44"/>
      <w14:textFill>
        <w14:solidFill>
          <w14:schemeClr w14:val="tx1"/>
        </w14:solidFill>
      </w14:textFill>
    </w:rPr>
  </w:style>
  <w:style w:type="paragraph" w:styleId="4">
    <w:name w:val="heading 2"/>
    <w:basedOn w:val="1"/>
    <w:next w:val="1"/>
    <w:link w:val="95"/>
    <w:unhideWhenUsed/>
    <w:qFormat/>
    <w:uiPriority w:val="9"/>
    <w:pPr>
      <w:keepNext/>
      <w:keepLines/>
      <w:widowControl/>
      <w:tabs>
        <w:tab w:val="left" w:pos="2977"/>
      </w:tabs>
      <w:spacing w:before="156" w:beforeLines="50" w:after="156" w:afterLines="50"/>
      <w:ind w:firstLine="0" w:firstLineChars="0"/>
      <w:outlineLvl w:val="1"/>
    </w:pPr>
    <w:rPr>
      <w:rFonts w:eastAsia="黑体" w:asciiTheme="majorHAnsi" w:hAnsiTheme="majorHAnsi" w:cstheme="majorBidi"/>
      <w:b/>
      <w:bCs/>
      <w:sz w:val="32"/>
      <w:szCs w:val="32"/>
    </w:rPr>
  </w:style>
  <w:style w:type="paragraph" w:styleId="5">
    <w:name w:val="heading 3"/>
    <w:basedOn w:val="1"/>
    <w:next w:val="1"/>
    <w:link w:val="96"/>
    <w:unhideWhenUsed/>
    <w:qFormat/>
    <w:uiPriority w:val="9"/>
    <w:pPr>
      <w:keepNext/>
      <w:keepLines/>
      <w:numPr>
        <w:ilvl w:val="0"/>
        <w:numId w:val="1"/>
      </w:numPr>
      <w:spacing w:before="190" w:beforeLines="50" w:after="190" w:afterLines="50"/>
      <w:ind w:right="280" w:rightChars="100" w:firstLine="0" w:firstLineChars="0"/>
      <w:outlineLvl w:val="2"/>
    </w:pPr>
    <w:rPr>
      <w:rFonts w:ascii="黑体" w:hAnsi="黑体"/>
      <w:b/>
      <w:bCs/>
      <w:sz w:val="32"/>
      <w:szCs w:val="30"/>
    </w:rPr>
  </w:style>
  <w:style w:type="paragraph" w:styleId="6">
    <w:name w:val="heading 4"/>
    <w:basedOn w:val="1"/>
    <w:next w:val="1"/>
    <w:link w:val="11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rPr>
  </w:style>
  <w:style w:type="paragraph" w:styleId="7">
    <w:name w:val="heading 5"/>
    <w:basedOn w:val="1"/>
    <w:next w:val="1"/>
    <w:link w:val="112"/>
    <w:semiHidden/>
    <w:unhideWhenUsed/>
    <w:qFormat/>
    <w:uiPriority w:val="9"/>
    <w:pPr>
      <w:keepNext/>
      <w:keepLines/>
      <w:spacing w:before="280" w:after="290" w:line="376" w:lineRule="atLeast"/>
      <w:outlineLvl w:val="4"/>
    </w:pPr>
    <w:rPr>
      <w:b/>
      <w:bCs/>
      <w:sz w:val="28"/>
    </w:rPr>
  </w:style>
  <w:style w:type="paragraph" w:styleId="8">
    <w:name w:val="heading 6"/>
    <w:basedOn w:val="1"/>
    <w:next w:val="1"/>
    <w:link w:val="113"/>
    <w:semiHidden/>
    <w:unhideWhenUsed/>
    <w:qFormat/>
    <w:uiPriority w:val="9"/>
    <w:pPr>
      <w:keepNext/>
      <w:keepLines/>
      <w:spacing w:before="240" w:after="64" w:line="320" w:lineRule="atLeast"/>
      <w:outlineLvl w:val="5"/>
    </w:pPr>
    <w:rPr>
      <w:rFonts w:asciiTheme="majorHAnsi" w:hAnsiTheme="majorHAnsi" w:eastAsiaTheme="majorEastAsia" w:cstheme="majorBidi"/>
      <w:b/>
      <w:bCs/>
      <w:sz w:val="24"/>
      <w:szCs w:val="24"/>
    </w:rPr>
  </w:style>
  <w:style w:type="paragraph" w:styleId="9">
    <w:name w:val="heading 7"/>
    <w:basedOn w:val="1"/>
    <w:next w:val="1"/>
    <w:link w:val="114"/>
    <w:semiHidden/>
    <w:unhideWhenUsed/>
    <w:qFormat/>
    <w:uiPriority w:val="9"/>
    <w:pPr>
      <w:keepNext/>
      <w:keepLines/>
      <w:spacing w:before="240" w:after="64" w:line="320" w:lineRule="atLeast"/>
      <w:outlineLvl w:val="6"/>
    </w:pPr>
    <w:rPr>
      <w:b/>
      <w:bCs/>
      <w:sz w:val="24"/>
      <w:szCs w:val="24"/>
    </w:rPr>
  </w:style>
  <w:style w:type="paragraph" w:styleId="10">
    <w:name w:val="heading 8"/>
    <w:basedOn w:val="1"/>
    <w:next w:val="1"/>
    <w:link w:val="115"/>
    <w:semiHidden/>
    <w:unhideWhenUsed/>
    <w:qFormat/>
    <w:uiPriority w:val="9"/>
    <w:pPr>
      <w:keepNext/>
      <w:keepLines/>
      <w:spacing w:before="240" w:after="64" w:line="320" w:lineRule="atLeast"/>
      <w:outlineLvl w:val="7"/>
    </w:pPr>
    <w:rPr>
      <w:rFonts w:asciiTheme="majorHAnsi" w:hAnsiTheme="majorHAnsi" w:eastAsiaTheme="majorEastAsia" w:cstheme="majorBidi"/>
      <w:sz w:val="24"/>
      <w:szCs w:val="24"/>
    </w:rPr>
  </w:style>
  <w:style w:type="paragraph" w:styleId="11">
    <w:name w:val="heading 9"/>
    <w:basedOn w:val="1"/>
    <w:next w:val="1"/>
    <w:link w:val="116"/>
    <w:semiHidden/>
    <w:unhideWhenUsed/>
    <w:qFormat/>
    <w:uiPriority w:val="9"/>
    <w:pPr>
      <w:keepNext/>
      <w:keepLines/>
      <w:spacing w:before="240" w:after="64" w:line="320" w:lineRule="atLeast"/>
      <w:outlineLvl w:val="8"/>
    </w:pPr>
    <w:rPr>
      <w:rFonts w:asciiTheme="majorHAnsi" w:hAnsiTheme="majorHAnsi" w:eastAsiaTheme="majorEastAsia" w:cstheme="majorBidi"/>
      <w:sz w:val="21"/>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21"/>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200" w:firstLineChars="20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
    <w:next w:val="1"/>
    <w:semiHidden/>
    <w:unhideWhenUsed/>
    <w:qFormat/>
    <w:uiPriority w:val="39"/>
    <w:pPr>
      <w:ind w:left="2520" w:leftChars="1200"/>
    </w:pPr>
  </w:style>
  <w:style w:type="paragraph" w:styleId="14">
    <w:name w:val="List Number 2"/>
    <w:basedOn w:val="1"/>
    <w:semiHidden/>
    <w:unhideWhenUsed/>
    <w:qFormat/>
    <w:uiPriority w:val="99"/>
    <w:pPr>
      <w:numPr>
        <w:ilvl w:val="0"/>
        <w:numId w:val="2"/>
      </w:numPr>
      <w:contextualSpacing/>
    </w:pPr>
  </w:style>
  <w:style w:type="paragraph" w:styleId="15">
    <w:name w:val="table of authorities"/>
    <w:basedOn w:val="1"/>
    <w:next w:val="1"/>
    <w:semiHidden/>
    <w:unhideWhenUsed/>
    <w:qFormat/>
    <w:uiPriority w:val="99"/>
    <w:pPr>
      <w:ind w:left="420" w:leftChars="200" w:firstLine="0"/>
    </w:pPr>
  </w:style>
  <w:style w:type="paragraph" w:styleId="16">
    <w:name w:val="Note Heading"/>
    <w:basedOn w:val="1"/>
    <w:next w:val="1"/>
    <w:link w:val="144"/>
    <w:semiHidden/>
    <w:unhideWhenUsed/>
    <w:qFormat/>
    <w:uiPriority w:val="99"/>
    <w:pPr>
      <w:jc w:val="center"/>
    </w:pPr>
  </w:style>
  <w:style w:type="paragraph" w:styleId="17">
    <w:name w:val="List Bullet 4"/>
    <w:basedOn w:val="1"/>
    <w:semiHidden/>
    <w:unhideWhenUsed/>
    <w:qFormat/>
    <w:uiPriority w:val="99"/>
    <w:pPr>
      <w:numPr>
        <w:ilvl w:val="0"/>
        <w:numId w:val="3"/>
      </w:numPr>
      <w:contextualSpacing/>
    </w:pPr>
  </w:style>
  <w:style w:type="paragraph" w:styleId="18">
    <w:name w:val="index 8"/>
    <w:basedOn w:val="1"/>
    <w:next w:val="1"/>
    <w:semiHidden/>
    <w:unhideWhenUsed/>
    <w:qFormat/>
    <w:uiPriority w:val="99"/>
    <w:pPr>
      <w:ind w:left="1400" w:leftChars="1400" w:firstLine="0"/>
    </w:pPr>
  </w:style>
  <w:style w:type="paragraph" w:styleId="19">
    <w:name w:val="E-mail Signature"/>
    <w:basedOn w:val="1"/>
    <w:link w:val="119"/>
    <w:semiHidden/>
    <w:unhideWhenUsed/>
    <w:uiPriority w:val="99"/>
  </w:style>
  <w:style w:type="paragraph" w:styleId="20">
    <w:name w:val="List Number"/>
    <w:basedOn w:val="1"/>
    <w:semiHidden/>
    <w:unhideWhenUsed/>
    <w:qFormat/>
    <w:uiPriority w:val="99"/>
    <w:pPr>
      <w:numPr>
        <w:ilvl w:val="0"/>
        <w:numId w:val="4"/>
      </w:numPr>
      <w:contextualSpacing/>
    </w:pPr>
  </w:style>
  <w:style w:type="paragraph" w:styleId="21">
    <w:name w:val="Normal Indent"/>
    <w:basedOn w:val="1"/>
    <w:semiHidden/>
    <w:unhideWhenUsed/>
    <w:qFormat/>
    <w:uiPriority w:val="99"/>
    <w:pPr>
      <w:ind w:firstLine="420"/>
    </w:pPr>
  </w:style>
  <w:style w:type="paragraph" w:styleId="22">
    <w:name w:val="caption"/>
    <w:basedOn w:val="1"/>
    <w:next w:val="1"/>
    <w:semiHidden/>
    <w:unhideWhenUsed/>
    <w:qFormat/>
    <w:uiPriority w:val="35"/>
    <w:rPr>
      <w:rFonts w:eastAsia="黑体" w:asciiTheme="majorHAnsi" w:hAnsiTheme="majorHAnsi" w:cstheme="majorBidi"/>
      <w:sz w:val="20"/>
      <w:szCs w:val="20"/>
    </w:rPr>
  </w:style>
  <w:style w:type="paragraph" w:styleId="23">
    <w:name w:val="index 5"/>
    <w:basedOn w:val="1"/>
    <w:next w:val="1"/>
    <w:semiHidden/>
    <w:unhideWhenUsed/>
    <w:qFormat/>
    <w:uiPriority w:val="99"/>
    <w:pPr>
      <w:ind w:left="800" w:leftChars="800" w:firstLine="0"/>
    </w:pPr>
  </w:style>
  <w:style w:type="paragraph" w:styleId="24">
    <w:name w:val="List Bullet"/>
    <w:basedOn w:val="1"/>
    <w:semiHidden/>
    <w:unhideWhenUsed/>
    <w:qFormat/>
    <w:uiPriority w:val="99"/>
    <w:pPr>
      <w:numPr>
        <w:ilvl w:val="0"/>
        <w:numId w:val="5"/>
      </w:numPr>
      <w:contextualSpacing/>
    </w:pPr>
  </w:style>
  <w:style w:type="paragraph" w:styleId="25">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32"/>
    <w:semiHidden/>
    <w:unhideWhenUsed/>
    <w:qFormat/>
    <w:uiPriority w:val="99"/>
    <w:rPr>
      <w:rFonts w:ascii="Microsoft YaHei UI" w:eastAsia="Microsoft YaHei UI"/>
      <w:sz w:val="18"/>
      <w:szCs w:val="18"/>
    </w:rPr>
  </w:style>
  <w:style w:type="paragraph" w:styleId="27">
    <w:name w:val="toa heading"/>
    <w:basedOn w:val="1"/>
    <w:next w:val="1"/>
    <w:semiHidden/>
    <w:unhideWhenUsed/>
    <w:qFormat/>
    <w:uiPriority w:val="99"/>
    <w:pPr>
      <w:spacing w:before="120"/>
    </w:pPr>
    <w:rPr>
      <w:rFonts w:asciiTheme="majorHAnsi" w:hAnsiTheme="majorHAnsi" w:eastAsiaTheme="majorEastAsia" w:cstheme="majorBidi"/>
      <w:sz w:val="24"/>
      <w:szCs w:val="24"/>
    </w:rPr>
  </w:style>
  <w:style w:type="paragraph" w:styleId="28">
    <w:name w:val="annotation text"/>
    <w:basedOn w:val="1"/>
    <w:link w:val="126"/>
    <w:semiHidden/>
    <w:unhideWhenUsed/>
    <w:qFormat/>
    <w:uiPriority w:val="99"/>
    <w:pPr>
      <w:jc w:val="left"/>
    </w:pPr>
  </w:style>
  <w:style w:type="paragraph" w:styleId="29">
    <w:name w:val="index 6"/>
    <w:basedOn w:val="1"/>
    <w:next w:val="1"/>
    <w:semiHidden/>
    <w:unhideWhenUsed/>
    <w:qFormat/>
    <w:uiPriority w:val="99"/>
    <w:pPr>
      <w:ind w:left="1000" w:leftChars="1000" w:firstLine="0"/>
    </w:pPr>
  </w:style>
  <w:style w:type="paragraph" w:styleId="30">
    <w:name w:val="Salutation"/>
    <w:basedOn w:val="1"/>
    <w:next w:val="1"/>
    <w:link w:val="117"/>
    <w:semiHidden/>
    <w:unhideWhenUsed/>
    <w:qFormat/>
    <w:uiPriority w:val="99"/>
  </w:style>
  <w:style w:type="paragraph" w:styleId="31">
    <w:name w:val="Body Text 3"/>
    <w:basedOn w:val="1"/>
    <w:link w:val="138"/>
    <w:semiHidden/>
    <w:unhideWhenUsed/>
    <w:qFormat/>
    <w:uiPriority w:val="99"/>
    <w:pPr>
      <w:spacing w:after="120"/>
    </w:pPr>
    <w:rPr>
      <w:sz w:val="16"/>
      <w:szCs w:val="16"/>
    </w:rPr>
  </w:style>
  <w:style w:type="paragraph" w:styleId="32">
    <w:name w:val="Closing"/>
    <w:basedOn w:val="1"/>
    <w:link w:val="123"/>
    <w:semiHidden/>
    <w:unhideWhenUsed/>
    <w:qFormat/>
    <w:uiPriority w:val="99"/>
    <w:pPr>
      <w:ind w:left="100" w:leftChars="2100"/>
    </w:pPr>
  </w:style>
  <w:style w:type="paragraph" w:styleId="33">
    <w:name w:val="List Bullet 3"/>
    <w:basedOn w:val="1"/>
    <w:semiHidden/>
    <w:unhideWhenUsed/>
    <w:uiPriority w:val="99"/>
    <w:pPr>
      <w:numPr>
        <w:ilvl w:val="0"/>
        <w:numId w:val="6"/>
      </w:numPr>
      <w:contextualSpacing/>
    </w:pPr>
  </w:style>
  <w:style w:type="paragraph" w:styleId="34">
    <w:name w:val="Body Text"/>
    <w:basedOn w:val="1"/>
    <w:link w:val="136"/>
    <w:semiHidden/>
    <w:unhideWhenUsed/>
    <w:qFormat/>
    <w:uiPriority w:val="99"/>
    <w:pPr>
      <w:spacing w:after="120"/>
    </w:pPr>
  </w:style>
  <w:style w:type="paragraph" w:styleId="35">
    <w:name w:val="Body Text Indent"/>
    <w:basedOn w:val="1"/>
    <w:link w:val="140"/>
    <w:semiHidden/>
    <w:unhideWhenUsed/>
    <w:qFormat/>
    <w:uiPriority w:val="99"/>
    <w:pPr>
      <w:spacing w:after="120"/>
      <w:ind w:left="420" w:leftChars="200"/>
    </w:pPr>
  </w:style>
  <w:style w:type="paragraph" w:styleId="36">
    <w:name w:val="List Number 3"/>
    <w:basedOn w:val="1"/>
    <w:semiHidden/>
    <w:unhideWhenUsed/>
    <w:uiPriority w:val="99"/>
    <w:pPr>
      <w:numPr>
        <w:ilvl w:val="0"/>
        <w:numId w:val="7"/>
      </w:numPr>
      <w:contextualSpacing/>
    </w:pPr>
  </w:style>
  <w:style w:type="paragraph" w:styleId="37">
    <w:name w:val="List 2"/>
    <w:basedOn w:val="1"/>
    <w:semiHidden/>
    <w:unhideWhenUsed/>
    <w:qFormat/>
    <w:uiPriority w:val="99"/>
    <w:pPr>
      <w:ind w:left="100" w:leftChars="200" w:hanging="200" w:hangingChars="200"/>
      <w:contextualSpacing/>
    </w:pPr>
  </w:style>
  <w:style w:type="paragraph" w:styleId="38">
    <w:name w:val="List Continue"/>
    <w:basedOn w:val="1"/>
    <w:semiHidden/>
    <w:unhideWhenUsed/>
    <w:qFormat/>
    <w:uiPriority w:val="99"/>
    <w:pPr>
      <w:spacing w:after="120"/>
      <w:ind w:left="420" w:leftChars="200"/>
      <w:contextualSpacing/>
    </w:pPr>
  </w:style>
  <w:style w:type="paragraph" w:styleId="39">
    <w:name w:val="Block Text"/>
    <w:basedOn w:val="1"/>
    <w:semiHidden/>
    <w:unhideWhenUsed/>
    <w:uiPriority w:val="99"/>
    <w:pPr>
      <w:spacing w:after="120"/>
      <w:ind w:left="1440" w:leftChars="700" w:right="1440" w:rightChars="700"/>
    </w:pPr>
  </w:style>
  <w:style w:type="paragraph" w:styleId="40">
    <w:name w:val="List Bullet 2"/>
    <w:basedOn w:val="1"/>
    <w:semiHidden/>
    <w:unhideWhenUsed/>
    <w:uiPriority w:val="99"/>
    <w:pPr>
      <w:numPr>
        <w:ilvl w:val="0"/>
        <w:numId w:val="8"/>
      </w:numPr>
      <w:contextualSpacing/>
    </w:pPr>
  </w:style>
  <w:style w:type="paragraph" w:styleId="41">
    <w:name w:val="HTML Address"/>
    <w:basedOn w:val="1"/>
    <w:link w:val="108"/>
    <w:semiHidden/>
    <w:unhideWhenUsed/>
    <w:qFormat/>
    <w:uiPriority w:val="99"/>
    <w:rPr>
      <w:i/>
      <w:iCs/>
    </w:rPr>
  </w:style>
  <w:style w:type="paragraph" w:styleId="42">
    <w:name w:val="index 4"/>
    <w:basedOn w:val="1"/>
    <w:next w:val="1"/>
    <w:semiHidden/>
    <w:unhideWhenUsed/>
    <w:qFormat/>
    <w:uiPriority w:val="99"/>
    <w:pPr>
      <w:ind w:left="600" w:leftChars="600" w:firstLine="0"/>
    </w:pPr>
  </w:style>
  <w:style w:type="paragraph" w:styleId="43">
    <w:name w:val="toc 5"/>
    <w:basedOn w:val="1"/>
    <w:next w:val="1"/>
    <w:semiHidden/>
    <w:unhideWhenUsed/>
    <w:uiPriority w:val="39"/>
    <w:pPr>
      <w:ind w:left="1680" w:leftChars="800"/>
    </w:pPr>
  </w:style>
  <w:style w:type="paragraph" w:styleId="44">
    <w:name w:val="toc 3"/>
    <w:basedOn w:val="1"/>
    <w:next w:val="1"/>
    <w:unhideWhenUsed/>
    <w:qFormat/>
    <w:uiPriority w:val="39"/>
    <w:pPr>
      <w:tabs>
        <w:tab w:val="right" w:leader="dot" w:pos="10243"/>
      </w:tabs>
      <w:spacing w:line="320" w:lineRule="exact"/>
      <w:ind w:firstLine="0" w:firstLineChars="0"/>
    </w:pPr>
    <w:rPr>
      <w:rFonts w:ascii="黑体" w:hAnsi="黑体" w:eastAsia="黑体"/>
      <w:sz w:val="24"/>
      <w:szCs w:val="24"/>
    </w:rPr>
  </w:style>
  <w:style w:type="paragraph" w:styleId="45">
    <w:name w:val="Plain Text"/>
    <w:basedOn w:val="1"/>
    <w:link w:val="118"/>
    <w:semiHidden/>
    <w:unhideWhenUsed/>
    <w:qFormat/>
    <w:uiPriority w:val="99"/>
    <w:rPr>
      <w:rFonts w:hAnsi="Courier New" w:cs="Courier New" w:asciiTheme="minorEastAsia" w:eastAsiaTheme="minorEastAsia"/>
    </w:rPr>
  </w:style>
  <w:style w:type="paragraph" w:styleId="46">
    <w:name w:val="List Bullet 5"/>
    <w:basedOn w:val="1"/>
    <w:semiHidden/>
    <w:unhideWhenUsed/>
    <w:uiPriority w:val="99"/>
    <w:pPr>
      <w:numPr>
        <w:ilvl w:val="0"/>
        <w:numId w:val="9"/>
      </w:numPr>
      <w:contextualSpacing/>
    </w:pPr>
  </w:style>
  <w:style w:type="paragraph" w:styleId="47">
    <w:name w:val="List Number 4"/>
    <w:basedOn w:val="1"/>
    <w:semiHidden/>
    <w:unhideWhenUsed/>
    <w:qFormat/>
    <w:uiPriority w:val="99"/>
    <w:pPr>
      <w:numPr>
        <w:ilvl w:val="0"/>
        <w:numId w:val="10"/>
      </w:numPr>
      <w:contextualSpacing/>
    </w:pPr>
  </w:style>
  <w:style w:type="paragraph" w:styleId="48">
    <w:name w:val="toc 8"/>
    <w:basedOn w:val="1"/>
    <w:next w:val="1"/>
    <w:semiHidden/>
    <w:unhideWhenUsed/>
    <w:uiPriority w:val="39"/>
    <w:pPr>
      <w:ind w:left="2940" w:leftChars="1400"/>
    </w:pPr>
  </w:style>
  <w:style w:type="paragraph" w:styleId="49">
    <w:name w:val="index 3"/>
    <w:basedOn w:val="1"/>
    <w:next w:val="1"/>
    <w:semiHidden/>
    <w:unhideWhenUsed/>
    <w:qFormat/>
    <w:uiPriority w:val="99"/>
    <w:pPr>
      <w:ind w:left="400" w:leftChars="400" w:firstLine="0"/>
    </w:pPr>
  </w:style>
  <w:style w:type="paragraph" w:styleId="50">
    <w:name w:val="Date"/>
    <w:basedOn w:val="1"/>
    <w:next w:val="1"/>
    <w:link w:val="129"/>
    <w:semiHidden/>
    <w:unhideWhenUsed/>
    <w:qFormat/>
    <w:uiPriority w:val="99"/>
    <w:pPr>
      <w:ind w:left="100" w:leftChars="2500"/>
    </w:pPr>
  </w:style>
  <w:style w:type="paragraph" w:styleId="51">
    <w:name w:val="Body Text Indent 2"/>
    <w:basedOn w:val="1"/>
    <w:link w:val="142"/>
    <w:semiHidden/>
    <w:unhideWhenUsed/>
    <w:qFormat/>
    <w:uiPriority w:val="99"/>
    <w:pPr>
      <w:spacing w:after="120" w:line="480" w:lineRule="auto"/>
      <w:ind w:left="420" w:leftChars="200"/>
    </w:pPr>
  </w:style>
  <w:style w:type="paragraph" w:styleId="52">
    <w:name w:val="endnote text"/>
    <w:basedOn w:val="1"/>
    <w:link w:val="131"/>
    <w:semiHidden/>
    <w:unhideWhenUsed/>
    <w:qFormat/>
    <w:uiPriority w:val="99"/>
    <w:pPr>
      <w:snapToGrid w:val="0"/>
      <w:jc w:val="left"/>
    </w:pPr>
  </w:style>
  <w:style w:type="paragraph" w:styleId="53">
    <w:name w:val="List Continue 5"/>
    <w:basedOn w:val="1"/>
    <w:semiHidden/>
    <w:unhideWhenUsed/>
    <w:qFormat/>
    <w:uiPriority w:val="99"/>
    <w:pPr>
      <w:spacing w:after="120"/>
      <w:ind w:left="2100" w:leftChars="1000"/>
      <w:contextualSpacing/>
    </w:pPr>
  </w:style>
  <w:style w:type="paragraph" w:styleId="54">
    <w:name w:val="Balloon Text"/>
    <w:basedOn w:val="1"/>
    <w:link w:val="100"/>
    <w:semiHidden/>
    <w:unhideWhenUsed/>
    <w:qFormat/>
    <w:uiPriority w:val="99"/>
    <w:pPr>
      <w:spacing w:line="240" w:lineRule="auto"/>
    </w:pPr>
    <w:rPr>
      <w:sz w:val="18"/>
      <w:szCs w:val="18"/>
    </w:rPr>
  </w:style>
  <w:style w:type="paragraph" w:styleId="55">
    <w:name w:val="footer"/>
    <w:basedOn w:val="1"/>
    <w:link w:val="97"/>
    <w:unhideWhenUsed/>
    <w:qFormat/>
    <w:uiPriority w:val="99"/>
    <w:pPr>
      <w:tabs>
        <w:tab w:val="center" w:pos="4153"/>
        <w:tab w:val="right" w:pos="8306"/>
      </w:tabs>
      <w:snapToGrid w:val="0"/>
    </w:pPr>
    <w:rPr>
      <w:sz w:val="18"/>
    </w:rPr>
  </w:style>
  <w:style w:type="paragraph" w:styleId="56">
    <w:name w:val="envelope return"/>
    <w:basedOn w:val="1"/>
    <w:semiHidden/>
    <w:unhideWhenUsed/>
    <w:qFormat/>
    <w:uiPriority w:val="99"/>
    <w:pPr>
      <w:snapToGrid w:val="0"/>
    </w:pPr>
    <w:rPr>
      <w:rFonts w:asciiTheme="majorHAnsi" w:hAnsiTheme="majorHAnsi" w:eastAsiaTheme="majorEastAsia" w:cstheme="majorBidi"/>
    </w:rPr>
  </w:style>
  <w:style w:type="paragraph" w:styleId="5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8">
    <w:name w:val="Signature"/>
    <w:basedOn w:val="1"/>
    <w:link w:val="128"/>
    <w:semiHidden/>
    <w:unhideWhenUsed/>
    <w:qFormat/>
    <w:uiPriority w:val="99"/>
    <w:pPr>
      <w:ind w:left="100" w:leftChars="2100"/>
    </w:pPr>
  </w:style>
  <w:style w:type="paragraph" w:styleId="59">
    <w:name w:val="toc 1"/>
    <w:basedOn w:val="1"/>
    <w:next w:val="1"/>
    <w:unhideWhenUsed/>
    <w:qFormat/>
    <w:uiPriority w:val="39"/>
    <w:pPr>
      <w:tabs>
        <w:tab w:val="right" w:leader="dot" w:pos="8296"/>
      </w:tabs>
      <w:ind w:firstLine="0" w:firstLineChars="0"/>
    </w:pPr>
    <w:rPr>
      <w:rFonts w:ascii="黑体" w:hAnsi="黑体" w:eastAsia="黑体"/>
      <w:b/>
      <w:color w:val="000000" w:themeColor="text1"/>
      <w:sz w:val="28"/>
      <w14:textFill>
        <w14:solidFill>
          <w14:schemeClr w14:val="tx1"/>
        </w14:solidFill>
      </w14:textFill>
    </w:rPr>
  </w:style>
  <w:style w:type="paragraph" w:styleId="60">
    <w:name w:val="List Continue 4"/>
    <w:basedOn w:val="1"/>
    <w:semiHidden/>
    <w:unhideWhenUsed/>
    <w:qFormat/>
    <w:uiPriority w:val="99"/>
    <w:pPr>
      <w:spacing w:after="120"/>
      <w:ind w:left="1680" w:leftChars="800"/>
      <w:contextualSpacing/>
    </w:pPr>
  </w:style>
  <w:style w:type="paragraph" w:styleId="61">
    <w:name w:val="toc 4"/>
    <w:basedOn w:val="1"/>
    <w:next w:val="1"/>
    <w:semiHidden/>
    <w:unhideWhenUsed/>
    <w:qFormat/>
    <w:uiPriority w:val="39"/>
    <w:pPr>
      <w:ind w:left="1260" w:leftChars="600"/>
    </w:p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semiHidden/>
    <w:unhideWhenUsed/>
    <w:qFormat/>
    <w:uiPriority w:val="99"/>
    <w:pPr>
      <w:ind w:firstLine="0"/>
    </w:pPr>
  </w:style>
  <w:style w:type="paragraph" w:styleId="64">
    <w:name w:val="Subtitle"/>
    <w:basedOn w:val="1"/>
    <w:next w:val="1"/>
    <w:link w:val="120"/>
    <w:qFormat/>
    <w:uiPriority w:val="11"/>
    <w:pPr>
      <w:spacing w:before="240" w:after="60" w:line="312" w:lineRule="atLeast"/>
      <w:jc w:val="center"/>
      <w:outlineLvl w:val="1"/>
    </w:pPr>
    <w:rPr>
      <w:rFonts w:asciiTheme="minorHAnsi" w:hAnsiTheme="minorHAnsi" w:eastAsiaTheme="minorEastAsia" w:cstheme="minorBidi"/>
      <w:b/>
      <w:bCs/>
      <w:kern w:val="28"/>
      <w:sz w:val="32"/>
      <w:szCs w:val="32"/>
    </w:rPr>
  </w:style>
  <w:style w:type="paragraph" w:styleId="65">
    <w:name w:val="List Number 5"/>
    <w:basedOn w:val="1"/>
    <w:semiHidden/>
    <w:unhideWhenUsed/>
    <w:qFormat/>
    <w:uiPriority w:val="99"/>
    <w:pPr>
      <w:numPr>
        <w:ilvl w:val="0"/>
        <w:numId w:val="11"/>
      </w:numPr>
      <w:contextualSpacing/>
    </w:pPr>
  </w:style>
  <w:style w:type="paragraph" w:styleId="66">
    <w:name w:val="List"/>
    <w:basedOn w:val="1"/>
    <w:semiHidden/>
    <w:unhideWhenUsed/>
    <w:qFormat/>
    <w:uiPriority w:val="99"/>
    <w:pPr>
      <w:ind w:left="200" w:hanging="200" w:hangingChars="200"/>
      <w:contextualSpacing/>
    </w:pPr>
  </w:style>
  <w:style w:type="paragraph" w:styleId="67">
    <w:name w:val="footnote text"/>
    <w:basedOn w:val="1"/>
    <w:link w:val="122"/>
    <w:semiHidden/>
    <w:unhideWhenUsed/>
    <w:qFormat/>
    <w:uiPriority w:val="99"/>
    <w:pPr>
      <w:snapToGrid w:val="0"/>
      <w:jc w:val="left"/>
    </w:pPr>
    <w:rPr>
      <w:sz w:val="18"/>
      <w:szCs w:val="18"/>
    </w:rPr>
  </w:style>
  <w:style w:type="paragraph" w:styleId="68">
    <w:name w:val="toc 6"/>
    <w:basedOn w:val="1"/>
    <w:next w:val="1"/>
    <w:semiHidden/>
    <w:unhideWhenUsed/>
    <w:qFormat/>
    <w:uiPriority w:val="39"/>
    <w:pPr>
      <w:ind w:left="2100" w:leftChars="1000"/>
    </w:pPr>
  </w:style>
  <w:style w:type="paragraph" w:styleId="69">
    <w:name w:val="List 5"/>
    <w:basedOn w:val="1"/>
    <w:semiHidden/>
    <w:unhideWhenUsed/>
    <w:qFormat/>
    <w:uiPriority w:val="99"/>
    <w:pPr>
      <w:ind w:left="100" w:leftChars="800" w:hanging="200" w:hangingChars="200"/>
      <w:contextualSpacing/>
    </w:pPr>
  </w:style>
  <w:style w:type="paragraph" w:styleId="70">
    <w:name w:val="Body Text Indent 3"/>
    <w:basedOn w:val="1"/>
    <w:link w:val="143"/>
    <w:semiHidden/>
    <w:unhideWhenUsed/>
    <w:qFormat/>
    <w:uiPriority w:val="99"/>
    <w:pPr>
      <w:spacing w:after="120"/>
      <w:ind w:left="420" w:leftChars="200"/>
    </w:pPr>
    <w:rPr>
      <w:sz w:val="16"/>
      <w:szCs w:val="16"/>
    </w:rPr>
  </w:style>
  <w:style w:type="paragraph" w:styleId="71">
    <w:name w:val="index 7"/>
    <w:basedOn w:val="1"/>
    <w:next w:val="1"/>
    <w:semiHidden/>
    <w:unhideWhenUsed/>
    <w:qFormat/>
    <w:uiPriority w:val="99"/>
    <w:pPr>
      <w:ind w:left="1200" w:leftChars="1200" w:firstLine="0"/>
    </w:pPr>
  </w:style>
  <w:style w:type="paragraph" w:styleId="72">
    <w:name w:val="index 9"/>
    <w:basedOn w:val="1"/>
    <w:next w:val="1"/>
    <w:semiHidden/>
    <w:unhideWhenUsed/>
    <w:qFormat/>
    <w:uiPriority w:val="99"/>
    <w:pPr>
      <w:ind w:left="1600" w:leftChars="1600" w:firstLine="0"/>
    </w:pPr>
  </w:style>
  <w:style w:type="paragraph" w:styleId="73">
    <w:name w:val="table of figures"/>
    <w:basedOn w:val="1"/>
    <w:next w:val="1"/>
    <w:semiHidden/>
    <w:unhideWhenUsed/>
    <w:qFormat/>
    <w:uiPriority w:val="99"/>
    <w:pPr>
      <w:ind w:left="200" w:leftChars="200" w:hanging="200" w:hangingChars="200"/>
    </w:pPr>
  </w:style>
  <w:style w:type="paragraph" w:styleId="74">
    <w:name w:val="toc 2"/>
    <w:basedOn w:val="1"/>
    <w:next w:val="1"/>
    <w:unhideWhenUsed/>
    <w:qFormat/>
    <w:uiPriority w:val="39"/>
    <w:pPr>
      <w:tabs>
        <w:tab w:val="right" w:leader="dot" w:pos="8296"/>
      </w:tabs>
      <w:spacing w:line="560" w:lineRule="exact"/>
      <w:ind w:firstLine="0" w:firstLineChars="0"/>
    </w:pPr>
    <w:rPr>
      <w:rFonts w:ascii="仿宋" w:hAnsi="仿宋"/>
      <w:sz w:val="32"/>
      <w:szCs w:val="32"/>
    </w:rPr>
  </w:style>
  <w:style w:type="paragraph" w:styleId="75">
    <w:name w:val="toc 9"/>
    <w:basedOn w:val="1"/>
    <w:next w:val="1"/>
    <w:semiHidden/>
    <w:unhideWhenUsed/>
    <w:qFormat/>
    <w:uiPriority w:val="39"/>
    <w:pPr>
      <w:ind w:left="3360" w:leftChars="1600"/>
    </w:pPr>
  </w:style>
  <w:style w:type="paragraph" w:styleId="76">
    <w:name w:val="Body Text 2"/>
    <w:basedOn w:val="1"/>
    <w:link w:val="137"/>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133"/>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9"/>
    <w:semiHidden/>
    <w:unhideWhenUsed/>
    <w:qFormat/>
    <w:uiPriority w:val="99"/>
    <w:rPr>
      <w:rFonts w:ascii="Courier New" w:hAnsi="Courier New" w:cs="Courier New"/>
      <w:sz w:val="20"/>
      <w:szCs w:val="20"/>
    </w:rPr>
  </w:style>
  <w:style w:type="paragraph" w:styleId="81">
    <w:name w:val="Normal (Web)"/>
    <w:basedOn w:val="1"/>
    <w:semiHidden/>
    <w:unhideWhenUsed/>
    <w:qFormat/>
    <w:uiPriority w:val="99"/>
    <w:rPr>
      <w:rFonts w:ascii="Times New Roman" w:hAnsi="Times New Roman"/>
      <w:sz w:val="24"/>
      <w:szCs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firstLine="0"/>
    </w:pPr>
  </w:style>
  <w:style w:type="paragraph" w:styleId="84">
    <w:name w:val="Title"/>
    <w:basedOn w:val="1"/>
    <w:next w:val="1"/>
    <w:link w:val="110"/>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127"/>
    <w:semiHidden/>
    <w:unhideWhenUsed/>
    <w:qFormat/>
    <w:uiPriority w:val="99"/>
    <w:rPr>
      <w:b/>
      <w:bCs/>
    </w:rPr>
  </w:style>
  <w:style w:type="paragraph" w:styleId="86">
    <w:name w:val="Body Text First Indent"/>
    <w:basedOn w:val="34"/>
    <w:link w:val="139"/>
    <w:semiHidden/>
    <w:unhideWhenUsed/>
    <w:qFormat/>
    <w:uiPriority w:val="99"/>
    <w:pPr>
      <w:ind w:firstLine="420" w:firstLineChars="100"/>
    </w:pPr>
  </w:style>
  <w:style w:type="paragraph" w:styleId="87">
    <w:name w:val="Body Text First Indent 2"/>
    <w:basedOn w:val="35"/>
    <w:link w:val="141"/>
    <w:semiHidden/>
    <w:unhideWhenUsed/>
    <w:qFormat/>
    <w:uiPriority w:val="99"/>
    <w:pPr>
      <w:ind w:firstLine="420"/>
    </w:pPr>
  </w:style>
  <w:style w:type="table" w:styleId="89">
    <w:name w:val="Table Grid"/>
    <w:basedOn w:val="88"/>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FollowedHyperlink"/>
    <w:basedOn w:val="90"/>
    <w:semiHidden/>
    <w:unhideWhenUsed/>
    <w:qFormat/>
    <w:uiPriority w:val="99"/>
    <w:rPr>
      <w:color w:val="800080" w:themeColor="followedHyperlink"/>
      <w:u w:val="single"/>
      <w14:textFill>
        <w14:solidFill>
          <w14:schemeClr w14:val="folHlink"/>
        </w14:solidFill>
      </w14:textFill>
    </w:rPr>
  </w:style>
  <w:style w:type="character" w:styleId="92">
    <w:name w:val="Hyperlink"/>
    <w:basedOn w:val="90"/>
    <w:unhideWhenUsed/>
    <w:qFormat/>
    <w:uiPriority w:val="99"/>
    <w:rPr>
      <w:color w:val="0000FF" w:themeColor="hyperlink"/>
      <w:u w:val="single"/>
      <w14:textFill>
        <w14:solidFill>
          <w14:schemeClr w14:val="hlink"/>
        </w14:solidFill>
      </w14:textFill>
    </w:rPr>
  </w:style>
  <w:style w:type="paragraph" w:styleId="93">
    <w:name w:val="List Paragraph"/>
    <w:basedOn w:val="1"/>
    <w:link w:val="99"/>
    <w:unhideWhenUsed/>
    <w:qFormat/>
    <w:uiPriority w:val="34"/>
    <w:pPr>
      <w:ind w:firstLine="420"/>
    </w:pPr>
  </w:style>
  <w:style w:type="character" w:customStyle="1" w:styleId="94">
    <w:name w:val="标题 1 字符"/>
    <w:basedOn w:val="90"/>
    <w:link w:val="3"/>
    <w:qFormat/>
    <w:uiPriority w:val="9"/>
    <w:rPr>
      <w:rFonts w:ascii="黑体" w:hAnsi="黑体" w:eastAsia="黑体"/>
      <w:b/>
      <w:bCs/>
      <w:color w:val="000000" w:themeColor="text1"/>
      <w:kern w:val="44"/>
      <w:sz w:val="44"/>
      <w:szCs w:val="44"/>
      <w14:textFill>
        <w14:solidFill>
          <w14:schemeClr w14:val="tx1"/>
        </w14:solidFill>
      </w14:textFill>
    </w:rPr>
  </w:style>
  <w:style w:type="character" w:customStyle="1" w:styleId="95">
    <w:name w:val="标题 2 字符"/>
    <w:basedOn w:val="90"/>
    <w:link w:val="4"/>
    <w:qFormat/>
    <w:uiPriority w:val="9"/>
    <w:rPr>
      <w:rFonts w:eastAsia="黑体" w:asciiTheme="majorHAnsi" w:hAnsiTheme="majorHAnsi" w:cstheme="majorBidi"/>
      <w:b/>
      <w:bCs/>
      <w:kern w:val="2"/>
      <w:sz w:val="32"/>
      <w:szCs w:val="32"/>
    </w:rPr>
  </w:style>
  <w:style w:type="character" w:customStyle="1" w:styleId="96">
    <w:name w:val="标题 3 字符"/>
    <w:basedOn w:val="90"/>
    <w:link w:val="5"/>
    <w:qFormat/>
    <w:uiPriority w:val="9"/>
    <w:rPr>
      <w:rFonts w:ascii="黑体" w:hAnsi="黑体" w:eastAsia="仿宋"/>
      <w:b/>
      <w:bCs/>
      <w:kern w:val="2"/>
      <w:sz w:val="32"/>
      <w:szCs w:val="30"/>
    </w:rPr>
  </w:style>
  <w:style w:type="character" w:customStyle="1" w:styleId="97">
    <w:name w:val="页脚 字符"/>
    <w:basedOn w:val="90"/>
    <w:link w:val="55"/>
    <w:qFormat/>
    <w:uiPriority w:val="99"/>
    <w:rPr>
      <w:rFonts w:ascii="宋体" w:hAnsi="宋体" w:cstheme="minorBidi"/>
      <w:kern w:val="2"/>
      <w:sz w:val="18"/>
      <w:szCs w:val="28"/>
    </w:rPr>
  </w:style>
  <w:style w:type="paragraph" w:customStyle="1" w:styleId="98">
    <w:name w:val="TOC 标题1"/>
    <w:basedOn w:val="3"/>
    <w:next w:val="1"/>
    <w:unhideWhenUsed/>
    <w:qFormat/>
    <w:uiPriority w:val="39"/>
    <w:pPr>
      <w:widowControl/>
      <w:spacing w:before="240" w:after="0" w:afterLines="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99">
    <w:name w:val="列表段落 字符"/>
    <w:basedOn w:val="90"/>
    <w:link w:val="93"/>
    <w:qFormat/>
    <w:uiPriority w:val="34"/>
    <w:rPr>
      <w:rFonts w:ascii="宋体" w:hAnsi="宋体" w:cstheme="minorBidi"/>
      <w:kern w:val="2"/>
      <w:sz w:val="28"/>
      <w:szCs w:val="28"/>
    </w:rPr>
  </w:style>
  <w:style w:type="character" w:customStyle="1" w:styleId="100">
    <w:name w:val="批注框文本 字符"/>
    <w:basedOn w:val="90"/>
    <w:link w:val="54"/>
    <w:semiHidden/>
    <w:qFormat/>
    <w:uiPriority w:val="99"/>
    <w:rPr>
      <w:rFonts w:ascii="宋体" w:hAnsi="宋体" w:eastAsia="仿宋"/>
      <w:kern w:val="2"/>
      <w:sz w:val="18"/>
      <w:szCs w:val="18"/>
    </w:rPr>
  </w:style>
  <w:style w:type="paragraph" w:styleId="101">
    <w:name w:val="No Spacing"/>
    <w:qFormat/>
    <w:uiPriority w:val="1"/>
    <w:pPr>
      <w:widowControl w:val="0"/>
      <w:jc w:val="center"/>
    </w:pPr>
    <w:rPr>
      <w:rFonts w:ascii="Cambria" w:hAnsi="Cambria" w:eastAsia="宋体" w:cs="Times New Roman"/>
      <w:b/>
      <w:kern w:val="2"/>
      <w:sz w:val="21"/>
      <w:szCs w:val="22"/>
      <w:lang w:val="en-US" w:eastAsia="zh-CN" w:bidi="ar-SA"/>
    </w:rPr>
  </w:style>
  <w:style w:type="character" w:customStyle="1" w:styleId="102">
    <w:name w:val="书籍标题1"/>
    <w:qFormat/>
    <w:uiPriority w:val="33"/>
    <w:rPr>
      <w:rFonts w:ascii="Courier New" w:hAnsi="Courier New" w:cs="Courier New"/>
      <w:b/>
      <w:bCs/>
      <w:iCs/>
      <w:spacing w:val="5"/>
    </w:rPr>
  </w:style>
  <w:style w:type="table" w:customStyle="1" w:styleId="103">
    <w:name w:val="网格型1"/>
    <w:basedOn w:val="88"/>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4">
    <w:name w:val="表格"/>
    <w:basedOn w:val="1"/>
    <w:link w:val="105"/>
    <w:qFormat/>
    <w:uiPriority w:val="0"/>
    <w:pPr>
      <w:spacing w:line="240" w:lineRule="auto"/>
      <w:ind w:firstLine="0" w:firstLineChars="0"/>
      <w:jc w:val="left"/>
    </w:pPr>
    <w:rPr>
      <w:rFonts w:ascii="仿宋" w:hAnsi="仿宋"/>
      <w:kern w:val="0"/>
      <w:sz w:val="24"/>
    </w:rPr>
  </w:style>
  <w:style w:type="character" w:customStyle="1" w:styleId="105">
    <w:name w:val="表格 Char"/>
    <w:basedOn w:val="90"/>
    <w:link w:val="104"/>
    <w:qFormat/>
    <w:uiPriority w:val="0"/>
    <w:rPr>
      <w:rFonts w:ascii="仿宋" w:hAnsi="仿宋" w:eastAsia="仿宋"/>
      <w:sz w:val="24"/>
      <w:szCs w:val="28"/>
    </w:rPr>
  </w:style>
  <w:style w:type="table" w:customStyle="1" w:styleId="106">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107">
    <w:name w:val="不明显参考1"/>
    <w:basedOn w:val="90"/>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08">
    <w:name w:val="HTML 地址 字符"/>
    <w:basedOn w:val="90"/>
    <w:link w:val="41"/>
    <w:semiHidden/>
    <w:qFormat/>
    <w:uiPriority w:val="99"/>
    <w:rPr>
      <w:rFonts w:ascii="宋体" w:hAnsi="宋体" w:eastAsia="仿宋"/>
      <w:i/>
      <w:iCs/>
      <w:kern w:val="2"/>
      <w:sz w:val="31"/>
      <w:szCs w:val="28"/>
    </w:rPr>
  </w:style>
  <w:style w:type="character" w:customStyle="1" w:styleId="109">
    <w:name w:val="HTML 预设格式 字符"/>
    <w:basedOn w:val="90"/>
    <w:link w:val="80"/>
    <w:semiHidden/>
    <w:qFormat/>
    <w:uiPriority w:val="99"/>
    <w:rPr>
      <w:rFonts w:ascii="Courier New" w:hAnsi="Courier New" w:eastAsia="仿宋" w:cs="Courier New"/>
      <w:kern w:val="2"/>
    </w:rPr>
  </w:style>
  <w:style w:type="character" w:customStyle="1" w:styleId="110">
    <w:name w:val="标题 字符"/>
    <w:basedOn w:val="90"/>
    <w:link w:val="84"/>
    <w:qFormat/>
    <w:uiPriority w:val="10"/>
    <w:rPr>
      <w:rFonts w:asciiTheme="majorHAnsi" w:hAnsiTheme="majorHAnsi" w:eastAsiaTheme="majorEastAsia" w:cstheme="majorBidi"/>
      <w:b/>
      <w:bCs/>
      <w:kern w:val="2"/>
      <w:sz w:val="32"/>
      <w:szCs w:val="32"/>
    </w:rPr>
  </w:style>
  <w:style w:type="character" w:customStyle="1" w:styleId="111">
    <w:name w:val="标题 4 字符"/>
    <w:basedOn w:val="90"/>
    <w:link w:val="6"/>
    <w:semiHidden/>
    <w:qFormat/>
    <w:uiPriority w:val="9"/>
    <w:rPr>
      <w:rFonts w:asciiTheme="majorHAnsi" w:hAnsiTheme="majorHAnsi" w:eastAsiaTheme="majorEastAsia" w:cstheme="majorBidi"/>
      <w:b/>
      <w:bCs/>
      <w:kern w:val="2"/>
      <w:sz w:val="28"/>
      <w:szCs w:val="28"/>
    </w:rPr>
  </w:style>
  <w:style w:type="character" w:customStyle="1" w:styleId="112">
    <w:name w:val="标题 5 字符"/>
    <w:basedOn w:val="90"/>
    <w:link w:val="7"/>
    <w:semiHidden/>
    <w:qFormat/>
    <w:uiPriority w:val="9"/>
    <w:rPr>
      <w:rFonts w:ascii="宋体" w:hAnsi="宋体" w:eastAsia="仿宋"/>
      <w:b/>
      <w:bCs/>
      <w:kern w:val="2"/>
      <w:sz w:val="28"/>
      <w:szCs w:val="28"/>
    </w:rPr>
  </w:style>
  <w:style w:type="character" w:customStyle="1" w:styleId="113">
    <w:name w:val="标题 6 字符"/>
    <w:basedOn w:val="90"/>
    <w:link w:val="8"/>
    <w:semiHidden/>
    <w:qFormat/>
    <w:uiPriority w:val="9"/>
    <w:rPr>
      <w:rFonts w:asciiTheme="majorHAnsi" w:hAnsiTheme="majorHAnsi" w:eastAsiaTheme="majorEastAsia" w:cstheme="majorBidi"/>
      <w:b/>
      <w:bCs/>
      <w:kern w:val="2"/>
      <w:sz w:val="24"/>
      <w:szCs w:val="24"/>
    </w:rPr>
  </w:style>
  <w:style w:type="character" w:customStyle="1" w:styleId="114">
    <w:name w:val="标题 7 字符"/>
    <w:basedOn w:val="90"/>
    <w:link w:val="9"/>
    <w:semiHidden/>
    <w:qFormat/>
    <w:uiPriority w:val="9"/>
    <w:rPr>
      <w:rFonts w:ascii="宋体" w:hAnsi="宋体" w:eastAsia="仿宋"/>
      <w:b/>
      <w:bCs/>
      <w:kern w:val="2"/>
      <w:sz w:val="24"/>
      <w:szCs w:val="24"/>
    </w:rPr>
  </w:style>
  <w:style w:type="character" w:customStyle="1" w:styleId="115">
    <w:name w:val="标题 8 字符"/>
    <w:basedOn w:val="90"/>
    <w:link w:val="10"/>
    <w:semiHidden/>
    <w:qFormat/>
    <w:uiPriority w:val="9"/>
    <w:rPr>
      <w:rFonts w:asciiTheme="majorHAnsi" w:hAnsiTheme="majorHAnsi" w:eastAsiaTheme="majorEastAsia" w:cstheme="majorBidi"/>
      <w:kern w:val="2"/>
      <w:sz w:val="24"/>
      <w:szCs w:val="24"/>
    </w:rPr>
  </w:style>
  <w:style w:type="character" w:customStyle="1" w:styleId="116">
    <w:name w:val="标题 9 字符"/>
    <w:basedOn w:val="90"/>
    <w:link w:val="11"/>
    <w:semiHidden/>
    <w:qFormat/>
    <w:uiPriority w:val="9"/>
    <w:rPr>
      <w:rFonts w:asciiTheme="majorHAnsi" w:hAnsiTheme="majorHAnsi" w:eastAsiaTheme="majorEastAsia" w:cstheme="majorBidi"/>
      <w:kern w:val="2"/>
      <w:sz w:val="21"/>
      <w:szCs w:val="21"/>
    </w:rPr>
  </w:style>
  <w:style w:type="character" w:customStyle="1" w:styleId="117">
    <w:name w:val="称呼 字符"/>
    <w:basedOn w:val="90"/>
    <w:link w:val="30"/>
    <w:semiHidden/>
    <w:qFormat/>
    <w:uiPriority w:val="99"/>
    <w:rPr>
      <w:rFonts w:ascii="宋体" w:hAnsi="宋体" w:eastAsia="仿宋"/>
      <w:kern w:val="2"/>
      <w:sz w:val="31"/>
      <w:szCs w:val="28"/>
    </w:rPr>
  </w:style>
  <w:style w:type="character" w:customStyle="1" w:styleId="118">
    <w:name w:val="纯文本 字符"/>
    <w:basedOn w:val="90"/>
    <w:link w:val="45"/>
    <w:semiHidden/>
    <w:qFormat/>
    <w:uiPriority w:val="99"/>
    <w:rPr>
      <w:rFonts w:hAnsi="Courier New" w:cs="Courier New" w:asciiTheme="minorEastAsia" w:eastAsiaTheme="minorEastAsia"/>
      <w:kern w:val="2"/>
      <w:sz w:val="31"/>
      <w:szCs w:val="28"/>
    </w:rPr>
  </w:style>
  <w:style w:type="character" w:customStyle="1" w:styleId="119">
    <w:name w:val="电子邮件签名 字符"/>
    <w:basedOn w:val="90"/>
    <w:link w:val="19"/>
    <w:semiHidden/>
    <w:qFormat/>
    <w:uiPriority w:val="99"/>
    <w:rPr>
      <w:rFonts w:ascii="宋体" w:hAnsi="宋体" w:eastAsia="仿宋"/>
      <w:kern w:val="2"/>
      <w:sz w:val="31"/>
      <w:szCs w:val="28"/>
    </w:rPr>
  </w:style>
  <w:style w:type="character" w:customStyle="1" w:styleId="120">
    <w:name w:val="副标题 字符"/>
    <w:basedOn w:val="90"/>
    <w:link w:val="64"/>
    <w:qFormat/>
    <w:uiPriority w:val="11"/>
    <w:rPr>
      <w:rFonts w:asciiTheme="minorHAnsi" w:hAnsiTheme="minorHAnsi" w:eastAsiaTheme="minorEastAsia" w:cstheme="minorBidi"/>
      <w:b/>
      <w:bCs/>
      <w:kern w:val="28"/>
      <w:sz w:val="32"/>
      <w:szCs w:val="32"/>
    </w:rPr>
  </w:style>
  <w:style w:type="character" w:customStyle="1" w:styleId="121">
    <w:name w:val="宏文本 字符"/>
    <w:basedOn w:val="90"/>
    <w:link w:val="2"/>
    <w:semiHidden/>
    <w:qFormat/>
    <w:uiPriority w:val="99"/>
    <w:rPr>
      <w:rFonts w:ascii="Courier New" w:hAnsi="Courier New" w:cs="Courier New"/>
      <w:kern w:val="2"/>
      <w:sz w:val="24"/>
      <w:szCs w:val="24"/>
    </w:rPr>
  </w:style>
  <w:style w:type="character" w:customStyle="1" w:styleId="122">
    <w:name w:val="脚注文本 字符"/>
    <w:basedOn w:val="90"/>
    <w:link w:val="67"/>
    <w:semiHidden/>
    <w:qFormat/>
    <w:uiPriority w:val="99"/>
    <w:rPr>
      <w:rFonts w:ascii="宋体" w:hAnsi="宋体" w:eastAsia="仿宋"/>
      <w:kern w:val="2"/>
      <w:sz w:val="18"/>
      <w:szCs w:val="18"/>
    </w:rPr>
  </w:style>
  <w:style w:type="character" w:customStyle="1" w:styleId="123">
    <w:name w:val="结束语 字符"/>
    <w:basedOn w:val="90"/>
    <w:link w:val="32"/>
    <w:semiHidden/>
    <w:qFormat/>
    <w:uiPriority w:val="99"/>
    <w:rPr>
      <w:rFonts w:ascii="宋体" w:hAnsi="宋体" w:eastAsia="仿宋"/>
      <w:kern w:val="2"/>
      <w:sz w:val="31"/>
      <w:szCs w:val="28"/>
    </w:rPr>
  </w:style>
  <w:style w:type="paragraph" w:styleId="124">
    <w:name w:val="Intense Quote"/>
    <w:basedOn w:val="1"/>
    <w:next w:val="1"/>
    <w:link w:val="125"/>
    <w:semiHidden/>
    <w:unhideWhenUsed/>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25">
    <w:name w:val="明显引用 字符"/>
    <w:basedOn w:val="90"/>
    <w:link w:val="124"/>
    <w:semiHidden/>
    <w:qFormat/>
    <w:uiPriority w:val="99"/>
    <w:rPr>
      <w:rFonts w:ascii="宋体" w:hAnsi="宋体" w:eastAsia="仿宋"/>
      <w:i/>
      <w:iCs/>
      <w:color w:val="4F81BD" w:themeColor="accent1"/>
      <w:kern w:val="2"/>
      <w:sz w:val="31"/>
      <w:szCs w:val="28"/>
      <w14:textFill>
        <w14:solidFill>
          <w14:schemeClr w14:val="accent1"/>
        </w14:solidFill>
      </w14:textFill>
    </w:rPr>
  </w:style>
  <w:style w:type="character" w:customStyle="1" w:styleId="126">
    <w:name w:val="批注文字 字符"/>
    <w:basedOn w:val="90"/>
    <w:link w:val="28"/>
    <w:semiHidden/>
    <w:qFormat/>
    <w:uiPriority w:val="99"/>
    <w:rPr>
      <w:rFonts w:ascii="宋体" w:hAnsi="宋体" w:eastAsia="仿宋"/>
      <w:kern w:val="2"/>
      <w:sz w:val="31"/>
      <w:szCs w:val="28"/>
    </w:rPr>
  </w:style>
  <w:style w:type="character" w:customStyle="1" w:styleId="127">
    <w:name w:val="批注主题 字符"/>
    <w:basedOn w:val="126"/>
    <w:link w:val="85"/>
    <w:semiHidden/>
    <w:qFormat/>
    <w:uiPriority w:val="99"/>
    <w:rPr>
      <w:rFonts w:ascii="宋体" w:hAnsi="宋体" w:eastAsia="仿宋"/>
      <w:b/>
      <w:bCs/>
      <w:kern w:val="2"/>
      <w:sz w:val="31"/>
      <w:szCs w:val="28"/>
    </w:rPr>
  </w:style>
  <w:style w:type="character" w:customStyle="1" w:styleId="128">
    <w:name w:val="签名 字符"/>
    <w:basedOn w:val="90"/>
    <w:link w:val="58"/>
    <w:semiHidden/>
    <w:qFormat/>
    <w:uiPriority w:val="99"/>
    <w:rPr>
      <w:rFonts w:ascii="宋体" w:hAnsi="宋体" w:eastAsia="仿宋"/>
      <w:kern w:val="2"/>
      <w:sz w:val="31"/>
      <w:szCs w:val="28"/>
    </w:rPr>
  </w:style>
  <w:style w:type="character" w:customStyle="1" w:styleId="129">
    <w:name w:val="日期 字符"/>
    <w:basedOn w:val="90"/>
    <w:link w:val="50"/>
    <w:semiHidden/>
    <w:qFormat/>
    <w:uiPriority w:val="99"/>
    <w:rPr>
      <w:rFonts w:ascii="宋体" w:hAnsi="宋体" w:eastAsia="仿宋"/>
      <w:kern w:val="2"/>
      <w:sz w:val="31"/>
      <w:szCs w:val="28"/>
    </w:rPr>
  </w:style>
  <w:style w:type="paragraph" w:customStyle="1" w:styleId="130">
    <w:name w:val="书目1"/>
    <w:basedOn w:val="1"/>
    <w:next w:val="1"/>
    <w:semiHidden/>
    <w:unhideWhenUsed/>
    <w:qFormat/>
    <w:uiPriority w:val="37"/>
  </w:style>
  <w:style w:type="character" w:customStyle="1" w:styleId="131">
    <w:name w:val="尾注文本 字符"/>
    <w:basedOn w:val="90"/>
    <w:link w:val="52"/>
    <w:semiHidden/>
    <w:qFormat/>
    <w:uiPriority w:val="99"/>
    <w:rPr>
      <w:rFonts w:ascii="宋体" w:hAnsi="宋体" w:eastAsia="仿宋"/>
      <w:kern w:val="2"/>
      <w:sz w:val="31"/>
      <w:szCs w:val="28"/>
    </w:rPr>
  </w:style>
  <w:style w:type="character" w:customStyle="1" w:styleId="132">
    <w:name w:val="文档结构图 字符"/>
    <w:basedOn w:val="90"/>
    <w:link w:val="26"/>
    <w:semiHidden/>
    <w:qFormat/>
    <w:uiPriority w:val="99"/>
    <w:rPr>
      <w:rFonts w:ascii="Microsoft YaHei UI" w:hAnsi="宋体" w:eastAsia="Microsoft YaHei UI"/>
      <w:kern w:val="2"/>
      <w:sz w:val="18"/>
      <w:szCs w:val="18"/>
    </w:rPr>
  </w:style>
  <w:style w:type="character" w:customStyle="1" w:styleId="133">
    <w:name w:val="信息标题 字符"/>
    <w:basedOn w:val="90"/>
    <w:link w:val="79"/>
    <w:semiHidden/>
    <w:uiPriority w:val="99"/>
    <w:rPr>
      <w:rFonts w:asciiTheme="majorHAnsi" w:hAnsiTheme="majorHAnsi" w:eastAsiaTheme="majorEastAsia" w:cstheme="majorBidi"/>
      <w:kern w:val="2"/>
      <w:sz w:val="24"/>
      <w:szCs w:val="24"/>
      <w:shd w:val="pct20" w:color="auto" w:fill="auto"/>
    </w:rPr>
  </w:style>
  <w:style w:type="paragraph" w:styleId="134">
    <w:name w:val="Quote"/>
    <w:basedOn w:val="1"/>
    <w:next w:val="1"/>
    <w:link w:val="135"/>
    <w:semiHidden/>
    <w:unhideWhenUsed/>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5">
    <w:name w:val="引用 字符"/>
    <w:basedOn w:val="90"/>
    <w:link w:val="134"/>
    <w:semiHidden/>
    <w:qFormat/>
    <w:uiPriority w:val="99"/>
    <w:rPr>
      <w:rFonts w:ascii="宋体" w:hAnsi="宋体" w:eastAsia="仿宋"/>
      <w:i/>
      <w:iCs/>
      <w:color w:val="404040" w:themeColor="text1" w:themeTint="BF"/>
      <w:kern w:val="2"/>
      <w:sz w:val="31"/>
      <w:szCs w:val="28"/>
      <w14:textFill>
        <w14:solidFill>
          <w14:schemeClr w14:val="tx1">
            <w14:lumMod w14:val="75000"/>
            <w14:lumOff w14:val="25000"/>
          </w14:schemeClr>
        </w14:solidFill>
      </w14:textFill>
    </w:rPr>
  </w:style>
  <w:style w:type="character" w:customStyle="1" w:styleId="136">
    <w:name w:val="正文文本 字符"/>
    <w:basedOn w:val="90"/>
    <w:link w:val="34"/>
    <w:semiHidden/>
    <w:uiPriority w:val="99"/>
    <w:rPr>
      <w:rFonts w:ascii="宋体" w:hAnsi="宋体" w:eastAsia="仿宋"/>
      <w:kern w:val="2"/>
      <w:sz w:val="31"/>
      <w:szCs w:val="28"/>
    </w:rPr>
  </w:style>
  <w:style w:type="character" w:customStyle="1" w:styleId="137">
    <w:name w:val="正文文本 2 字符"/>
    <w:basedOn w:val="90"/>
    <w:link w:val="76"/>
    <w:semiHidden/>
    <w:uiPriority w:val="99"/>
    <w:rPr>
      <w:rFonts w:ascii="宋体" w:hAnsi="宋体" w:eastAsia="仿宋"/>
      <w:kern w:val="2"/>
      <w:sz w:val="31"/>
      <w:szCs w:val="28"/>
    </w:rPr>
  </w:style>
  <w:style w:type="character" w:customStyle="1" w:styleId="138">
    <w:name w:val="正文文本 3 字符"/>
    <w:basedOn w:val="90"/>
    <w:link w:val="31"/>
    <w:semiHidden/>
    <w:uiPriority w:val="99"/>
    <w:rPr>
      <w:rFonts w:ascii="宋体" w:hAnsi="宋体" w:eastAsia="仿宋"/>
      <w:kern w:val="2"/>
      <w:sz w:val="16"/>
      <w:szCs w:val="16"/>
    </w:rPr>
  </w:style>
  <w:style w:type="character" w:customStyle="1" w:styleId="139">
    <w:name w:val="正文文本首行缩进 字符"/>
    <w:basedOn w:val="136"/>
    <w:link w:val="86"/>
    <w:semiHidden/>
    <w:qFormat/>
    <w:uiPriority w:val="99"/>
    <w:rPr>
      <w:rFonts w:ascii="宋体" w:hAnsi="宋体" w:eastAsia="仿宋"/>
      <w:kern w:val="2"/>
      <w:sz w:val="31"/>
      <w:szCs w:val="28"/>
    </w:rPr>
  </w:style>
  <w:style w:type="character" w:customStyle="1" w:styleId="140">
    <w:name w:val="正文文本缩进 字符"/>
    <w:basedOn w:val="90"/>
    <w:link w:val="35"/>
    <w:semiHidden/>
    <w:qFormat/>
    <w:uiPriority w:val="99"/>
    <w:rPr>
      <w:rFonts w:ascii="宋体" w:hAnsi="宋体" w:eastAsia="仿宋"/>
      <w:kern w:val="2"/>
      <w:sz w:val="31"/>
      <w:szCs w:val="28"/>
    </w:rPr>
  </w:style>
  <w:style w:type="character" w:customStyle="1" w:styleId="141">
    <w:name w:val="正文文本首行缩进 2 字符"/>
    <w:basedOn w:val="140"/>
    <w:link w:val="87"/>
    <w:semiHidden/>
    <w:qFormat/>
    <w:uiPriority w:val="99"/>
    <w:rPr>
      <w:rFonts w:ascii="宋体" w:hAnsi="宋体" w:eastAsia="仿宋"/>
      <w:kern w:val="2"/>
      <w:sz w:val="31"/>
      <w:szCs w:val="28"/>
    </w:rPr>
  </w:style>
  <w:style w:type="character" w:customStyle="1" w:styleId="142">
    <w:name w:val="正文文本缩进 2 字符"/>
    <w:basedOn w:val="90"/>
    <w:link w:val="51"/>
    <w:semiHidden/>
    <w:qFormat/>
    <w:uiPriority w:val="99"/>
    <w:rPr>
      <w:rFonts w:ascii="宋体" w:hAnsi="宋体" w:eastAsia="仿宋"/>
      <w:kern w:val="2"/>
      <w:sz w:val="31"/>
      <w:szCs w:val="28"/>
    </w:rPr>
  </w:style>
  <w:style w:type="character" w:customStyle="1" w:styleId="143">
    <w:name w:val="正文文本缩进 3 字符"/>
    <w:basedOn w:val="90"/>
    <w:link w:val="70"/>
    <w:semiHidden/>
    <w:uiPriority w:val="99"/>
    <w:rPr>
      <w:rFonts w:ascii="宋体" w:hAnsi="宋体" w:eastAsia="仿宋"/>
      <w:kern w:val="2"/>
      <w:sz w:val="16"/>
      <w:szCs w:val="16"/>
    </w:rPr>
  </w:style>
  <w:style w:type="character" w:customStyle="1" w:styleId="144">
    <w:name w:val="注释标题 字符"/>
    <w:basedOn w:val="90"/>
    <w:link w:val="16"/>
    <w:semiHidden/>
    <w:qFormat/>
    <w:uiPriority w:val="99"/>
    <w:rPr>
      <w:rFonts w:ascii="宋体" w:hAnsi="宋体" w:eastAsia="仿宋"/>
      <w:kern w:val="2"/>
      <w:sz w:val="31"/>
      <w:szCs w:val="28"/>
    </w:rPr>
  </w:style>
  <w:style w:type="character" w:customStyle="1" w:styleId="145">
    <w:name w:val="未处理的提及1"/>
    <w:basedOn w:val="90"/>
    <w:semiHidden/>
    <w:unhideWhenUsed/>
    <w:qFormat/>
    <w:uiPriority w:val="99"/>
    <w:rPr>
      <w:color w:val="605E5C"/>
      <w:shd w:val="clear" w:color="auto" w:fill="E1DFDD"/>
    </w:rPr>
  </w:style>
  <w:style w:type="character" w:customStyle="1" w:styleId="146">
    <w:name w:val="jgdz"/>
    <w:basedOn w:val="90"/>
    <w:qFormat/>
    <w:uiPriority w:val="0"/>
  </w:style>
  <w:style w:type="character" w:customStyle="1" w:styleId="147">
    <w:name w:val="fwnf"/>
    <w:basedOn w:val="90"/>
    <w:uiPriority w:val="0"/>
  </w:style>
  <w:style w:type="character" w:customStyle="1" w:styleId="148">
    <w:name w:val="fwxh"/>
    <w:basedOn w:val="90"/>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lumMod val="75000"/>
          </a:schemeClr>
        </a:lnRef>
        <a:fillRef idx="1">
          <a:schemeClr val="accent1"/>
        </a:fillRef>
        <a:effectRef idx="0">
          <a:srgbClr val="FFFFFF"/>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701BA3-6C16-4B1F-AFB8-093A0A7AD29B}">
  <ds:schemaRefs/>
</ds:datastoreItem>
</file>

<file path=docProps/app.xml><?xml version="1.0" encoding="utf-8"?>
<Properties xmlns="http://schemas.openxmlformats.org/officeDocument/2006/extended-properties" xmlns:vt="http://schemas.openxmlformats.org/officeDocument/2006/docPropsVTypes">
  <Template>Normal</Template>
  <Pages>25</Pages>
  <Words>1737</Words>
  <Characters>9904</Characters>
  <Lines>82</Lines>
  <Paragraphs>23</Paragraphs>
  <TotalTime>47</TotalTime>
  <ScaleCrop>false</ScaleCrop>
  <LinksUpToDate>false</LinksUpToDate>
  <CharactersWithSpaces>11618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2026-04-30T01:58:00Z</dcterms:created>
  <dc:creator>xb21cn</dc:creator>
  <cp:lastModifiedBy>peppa pig</cp:lastModifiedBy>
  <cp:lastPrinted>2026-04-30T03:20:31Z</cp:lastPrinted>
  <dcterms:modified xsi:type="dcterms:W3CDTF">2026-04-30T03:20:36Z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eyJoZGlkIjoiNDBmODE0YmJiMWFjOGViNTQxNjhmMTYyZjY3ODRmOGMiLCJ1c2VySWQiOiIxMDc2NTg0MjUwIn0=</vt:lpwstr>
  </property>
  <property fmtid="{D5CDD505-2E9C-101B-9397-08002B2CF9AE}" pid="3" name="KSOProductBuildVer">
    <vt:lpwstr>2052-11.8.2.12085</vt:lpwstr>
  </property>
  <property fmtid="{D5CDD505-2E9C-101B-9397-08002B2CF9AE}" pid="4" name="ICV">
    <vt:lpwstr>0AC4E0AF8C194115AEE59DA3C40788EC</vt:lpwstr>
  </property>
</Properties>
</file>