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386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56"/>
        <w:gridCol w:w="2523"/>
        <w:gridCol w:w="1217"/>
        <w:gridCol w:w="1217"/>
        <w:gridCol w:w="3057"/>
        <w:gridCol w:w="1970"/>
        <w:gridCol w:w="222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2" w:hRule="atLeast"/>
          <w:jc w:val="center"/>
        </w:trPr>
        <w:tc>
          <w:tcPr>
            <w:tcW w:w="1656" w:type="dxa"/>
            <w:vMerge w:val="restart"/>
            <w:tcBorders>
              <w:top w:val="single" w:color="auto" w:sz="8" w:space="0"/>
              <w:left w:val="single" w:color="auto" w:sz="8" w:space="0"/>
              <w:bottom w:val="single" w:color="auto" w:sz="8" w:space="0"/>
              <w:right w:val="single" w:color="auto" w:sz="8" w:space="0"/>
            </w:tcBorders>
            <w:shd w:val="clear" w:color="auto" w:fill="BFBFB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ascii="Calibri" w:hAnsi="Calibri" w:cs="Calibri"/>
                <w:sz w:val="21"/>
                <w:szCs w:val="21"/>
              </w:rPr>
            </w:pPr>
            <w:bookmarkStart w:id="0" w:name="_GoBack"/>
            <w:r>
              <w:rPr>
                <w:rFonts w:hint="eastAsia" w:ascii="宋体" w:hAnsi="宋体" w:eastAsia="宋体" w:cs="宋体"/>
                <w:b/>
                <w:color w:val="000000"/>
                <w:sz w:val="21"/>
                <w:szCs w:val="21"/>
              </w:rPr>
              <w:t>序号</w:t>
            </w:r>
          </w:p>
        </w:tc>
        <w:tc>
          <w:tcPr>
            <w:tcW w:w="2523" w:type="dxa"/>
            <w:vMerge w:val="restart"/>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b/>
                <w:color w:val="000000"/>
                <w:sz w:val="21"/>
                <w:szCs w:val="21"/>
              </w:rPr>
              <w:t>具体职责</w:t>
            </w:r>
          </w:p>
        </w:tc>
        <w:tc>
          <w:tcPr>
            <w:tcW w:w="1217" w:type="dxa"/>
            <w:vMerge w:val="restart"/>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b/>
                <w:color w:val="000000"/>
                <w:sz w:val="21"/>
                <w:szCs w:val="21"/>
              </w:rPr>
              <w:t>业务事项</w:t>
            </w:r>
          </w:p>
        </w:tc>
        <w:tc>
          <w:tcPr>
            <w:tcW w:w="1217" w:type="dxa"/>
            <w:vMerge w:val="restart"/>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b/>
                <w:color w:val="000000"/>
                <w:sz w:val="21"/>
                <w:szCs w:val="21"/>
              </w:rPr>
              <w:t>信息类别</w:t>
            </w:r>
          </w:p>
        </w:tc>
        <w:tc>
          <w:tcPr>
            <w:tcW w:w="3057" w:type="dxa"/>
            <w:vMerge w:val="restart"/>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b/>
                <w:color w:val="000000"/>
                <w:sz w:val="21"/>
                <w:szCs w:val="21"/>
              </w:rPr>
              <w:t>内容标准</w:t>
            </w:r>
          </w:p>
        </w:tc>
        <w:tc>
          <w:tcPr>
            <w:tcW w:w="1970" w:type="dxa"/>
            <w:vMerge w:val="restart"/>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b/>
                <w:color w:val="000000"/>
                <w:sz w:val="21"/>
                <w:szCs w:val="21"/>
              </w:rPr>
              <w:t>公开时限</w:t>
            </w:r>
          </w:p>
        </w:tc>
        <w:tc>
          <w:tcPr>
            <w:tcW w:w="2228" w:type="dxa"/>
            <w:vMerge w:val="restart"/>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b/>
                <w:color w:val="000000"/>
                <w:sz w:val="21"/>
                <w:szCs w:val="21"/>
              </w:rPr>
              <w:t>公开形式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2" w:hRule="atLeast"/>
          <w:jc w:val="center"/>
        </w:trPr>
        <w:tc>
          <w:tcPr>
            <w:tcW w:w="1656" w:type="dxa"/>
            <w:vMerge w:val="continue"/>
            <w:tcBorders>
              <w:top w:val="single" w:color="auto" w:sz="8" w:space="0"/>
              <w:left w:val="single" w:color="auto" w:sz="8" w:space="0"/>
              <w:bottom w:val="single" w:color="auto" w:sz="8" w:space="0"/>
              <w:right w:val="single" w:color="auto" w:sz="8" w:space="0"/>
            </w:tcBorders>
            <w:shd w:val="clear" w:color="auto" w:fill="BFBFBF"/>
            <w:tcMar>
              <w:left w:w="108" w:type="dxa"/>
              <w:right w:w="108" w:type="dxa"/>
            </w:tcMar>
            <w:vAlign w:val="center"/>
          </w:tcPr>
          <w:p>
            <w:pPr>
              <w:rPr>
                <w:rFonts w:hint="eastAsia" w:ascii="宋体" w:hAnsi="宋体" w:eastAsia="宋体" w:cs="宋体"/>
                <w:sz w:val="18"/>
                <w:szCs w:val="18"/>
              </w:rPr>
            </w:pPr>
          </w:p>
        </w:tc>
        <w:tc>
          <w:tcPr>
            <w:tcW w:w="2523" w:type="dxa"/>
            <w:vMerge w:val="continue"/>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rPr>
                <w:rFonts w:hint="eastAsia" w:ascii="宋体" w:hAnsi="宋体" w:eastAsia="宋体" w:cs="宋体"/>
                <w:sz w:val="18"/>
                <w:szCs w:val="18"/>
              </w:rPr>
            </w:pPr>
          </w:p>
        </w:tc>
        <w:tc>
          <w:tcPr>
            <w:tcW w:w="3057" w:type="dxa"/>
            <w:vMerge w:val="continue"/>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rPr>
                <w:rFonts w:hint="eastAsia" w:ascii="宋体" w:hAnsi="宋体" w:eastAsia="宋体" w:cs="宋体"/>
                <w:sz w:val="18"/>
                <w:szCs w:val="18"/>
              </w:rPr>
            </w:pPr>
          </w:p>
        </w:tc>
        <w:tc>
          <w:tcPr>
            <w:tcW w:w="1970" w:type="dxa"/>
            <w:vMerge w:val="continue"/>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rPr>
                <w:rFonts w:hint="eastAsia" w:ascii="宋体" w:hAnsi="宋体" w:eastAsia="宋体" w:cs="宋体"/>
                <w:sz w:val="18"/>
                <w:szCs w:val="18"/>
              </w:rPr>
            </w:pPr>
          </w:p>
        </w:tc>
        <w:tc>
          <w:tcPr>
            <w:tcW w:w="2228" w:type="dxa"/>
            <w:vMerge w:val="continue"/>
            <w:tcBorders>
              <w:top w:val="single" w:color="auto" w:sz="8" w:space="0"/>
              <w:left w:val="nil"/>
              <w:bottom w:val="single" w:color="auto" w:sz="8" w:space="0"/>
              <w:right w:val="single" w:color="auto" w:sz="8" w:space="0"/>
            </w:tcBorders>
            <w:shd w:val="clear" w:color="auto" w:fill="BFBFBF"/>
            <w:tcMar>
              <w:left w:w="108" w:type="dxa"/>
              <w:right w:w="108" w:type="dxa"/>
            </w:tcMar>
            <w:vAlign w:val="center"/>
          </w:tcPr>
          <w:p>
            <w:pPr>
              <w:rPr>
                <w:rFonts w:hint="eastAsia" w:ascii="宋体" w:hAnsi="宋体" w:eastAsia="宋体" w:cs="宋体"/>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机构基本情况</w:t>
            </w:r>
          </w:p>
        </w:tc>
        <w:tc>
          <w:tcPr>
            <w:tcW w:w="1217" w:type="dxa"/>
            <w:vMerge w:val="restart"/>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机构职权信息</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color w:val="000000"/>
                <w:sz w:val="21"/>
                <w:szCs w:val="21"/>
              </w:rPr>
              <w:t>基本信息</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color w:val="000000"/>
                <w:sz w:val="21"/>
                <w:szCs w:val="21"/>
              </w:rPr>
              <w:t>【机构名称】【联系方式】【咨询服务】【监督投诉】</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eastAsiaTheme="minorEastAsia"/>
                <w:sz w:val="21"/>
                <w:szCs w:val="21"/>
                <w:lang w:val="en-US" w:eastAsia="zh-CN"/>
              </w:rPr>
            </w:pPr>
            <w:r>
              <w:rPr>
                <w:rFonts w:hint="eastAsia" w:ascii="宋体" w:hAnsi="宋体" w:eastAsia="宋体" w:cs="宋体"/>
                <w:color w:val="000000"/>
                <w:sz w:val="21"/>
                <w:szCs w:val="21"/>
                <w:lang w:eastAsia="zh-CN"/>
              </w:rPr>
              <w:t>信息产生或变更后</w:t>
            </w:r>
            <w:r>
              <w:rPr>
                <w:rFonts w:hint="eastAsia" w:ascii="宋体" w:hAnsi="宋体" w:eastAsia="宋体" w:cs="宋体"/>
                <w:color w:val="000000"/>
                <w:sz w:val="21"/>
                <w:szCs w:val="21"/>
                <w:lang w:val="en-US" w:eastAsia="zh-CN"/>
              </w:rPr>
              <w:t>20个工作日</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color w:val="000000"/>
                <w:sz w:val="21"/>
                <w:szCs w:val="21"/>
              </w:rPr>
              <w:t>机构职能</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color w:val="000000"/>
                <w:sz w:val="21"/>
                <w:szCs w:val="21"/>
              </w:rPr>
              <w:t>依据职责调整情况确定的最新法定职责</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color w:val="000000"/>
                <w:sz w:val="21"/>
                <w:szCs w:val="21"/>
              </w:rPr>
              <w:t>机构设置</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color w:val="000000"/>
                <w:sz w:val="21"/>
                <w:szCs w:val="21"/>
              </w:rPr>
              <w:t>【机构名称】【职责】【联系方式】</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9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FFFFFF"/>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color w:val="000000"/>
                <w:sz w:val="21"/>
                <w:szCs w:val="21"/>
              </w:rPr>
              <w:t>领导介绍</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color w:val="000000"/>
                <w:sz w:val="21"/>
                <w:szCs w:val="21"/>
              </w:rPr>
              <w:t>【基本信息】【个人基本信息】【工作分工】【标准工作照】</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负责机关政务工作</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年度工作总结</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总结报告</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【标题】【内容】</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信息公开工作</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信息公开指南</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【标题】【内容】</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1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信息公开工作</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信息公开目录</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【标题】【内容】</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5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信息公开工作</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信息公开年度报告</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【组织机构】【制度建设】【渠道场所】【教育培训】【主动公开】【行政复议和行政诉讼】【主要问题和改进措施】【其他事项】</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按年度公开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信息公开工作</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年度工作要点</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【全文公开】</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按年度公开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4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信息公开工作</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体育局政府信息主动公开全清单</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信息公开</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【具体职责】【业务事项】【信息类别】【内容标准】【公开时限】【公开形式】</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按年度公开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活动场地</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群众体育专项活动场地</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场地设施</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【标题】【内容】</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按年度公开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指导开展群众性体育活动</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开展体育赛事活动</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体育赛事活动</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【标题】【内容】</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负责国民体质监测工作</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组织开展国民体质监测工作</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年度工作</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【标题】【内容】</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指导和推动社区体育发展</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全民健身示范街道</w:t>
            </w:r>
          </w:p>
        </w:tc>
        <w:tc>
          <w:tcPr>
            <w:tcW w:w="121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体育组织</w:t>
            </w:r>
          </w:p>
        </w:tc>
        <w:tc>
          <w:tcPr>
            <w:tcW w:w="3057"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【标题】【内容】</w:t>
            </w:r>
          </w:p>
        </w:tc>
        <w:tc>
          <w:tcPr>
            <w:tcW w:w="1970"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按年度公开</w:t>
            </w:r>
          </w:p>
        </w:tc>
        <w:tc>
          <w:tcPr>
            <w:tcW w:w="2228"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全民健身服务体系建设</w:t>
            </w: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组织、指导和监督本区各行业、社区开展全民健身活动</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活动通知</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【活动时间】【活动地点】【参加人员】【活动内容】</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活动信息</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【活动时间】【活动地点】【参加人员】【活动内容】</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国民体质测试与监测、社会体育指导员两项制度</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社会体育指导员培训</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【培训时间】【培训地点】【参加人员】【内容】</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社会体育指导员审批</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【二、三级社会体育指导员名单】</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社会体育指导员评选表彰</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【“一、二、三星”级社会体育指导员名单】</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全民健身设施建设、管理工作</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全民健身工程建设信息</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【招标公告】【中标公告】</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全民健身专项场地建设信息</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【招标公告】【中标公告】</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体育类民办非企业单位和个人进行登记审查及相关管理</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民办非企业登记</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体育类民办非企业的登记审查</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sz w:val="21"/>
                <w:szCs w:val="21"/>
              </w:rPr>
            </w:pPr>
          </w:p>
        </w:tc>
        <w:tc>
          <w:tcPr>
            <w:tcW w:w="252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行政执法、行政许可、行政审批、社会服务事项及办事代理工作</w:t>
            </w: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行政许可</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经营高危险性体育项目的行政许可</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事项名称】【事项编码】【事项类别】【设定依据】【审批对象】【实施机关】【办理处室】【受理方式】【受理地点】【审批流程】【申报材料】【审查内容】【审查标准】【批准形式】【收费依据】【收费标准】【办理时限】【有效时限】</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宋体" w:hAnsi="宋体" w:eastAsia="宋体" w:cs="宋体"/>
                <w:color w:val="000000"/>
                <w:sz w:val="21"/>
                <w:szCs w:val="21"/>
                <w:lang w:val="en-US" w:eastAsia="zh-CN"/>
              </w:rPr>
            </w:pPr>
          </w:p>
        </w:tc>
        <w:tc>
          <w:tcPr>
            <w:tcW w:w="2523" w:type="dxa"/>
            <w:vMerge w:val="continue"/>
            <w:tcBorders>
              <w:left w:val="nil"/>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szCs w:val="21"/>
              </w:rPr>
            </w:pPr>
          </w:p>
        </w:tc>
        <w:tc>
          <w:tcPr>
            <w:tcW w:w="1217" w:type="dxa"/>
            <w:vMerge w:val="continue"/>
            <w:tcBorders>
              <w:left w:val="nil"/>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szCs w:val="21"/>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fldChar w:fldCharType="begin"/>
            </w:r>
            <w:r>
              <w:rPr>
                <w:rFonts w:hint="eastAsia" w:ascii="宋体" w:hAnsi="宋体" w:eastAsia="宋体" w:cs="宋体"/>
                <w:color w:val="000000"/>
                <w:sz w:val="21"/>
                <w:szCs w:val="21"/>
              </w:rPr>
              <w:instrText xml:space="preserve"> HYPERLINK "javascript:viewItemPage('finish','8b31a443-81a0-4ef5-a73b-6bfa99e09f3a','XZXK_NEW','1');" </w:instrText>
            </w:r>
            <w:r>
              <w:rPr>
                <w:rFonts w:hint="eastAsia" w:ascii="宋体" w:hAnsi="宋体" w:eastAsia="宋体" w:cs="宋体"/>
                <w:color w:val="000000"/>
                <w:sz w:val="21"/>
                <w:szCs w:val="21"/>
              </w:rPr>
              <w:fldChar w:fldCharType="separate"/>
            </w:r>
            <w:r>
              <w:rPr>
                <w:rFonts w:hint="eastAsia" w:ascii="宋体" w:hAnsi="宋体" w:eastAsia="宋体" w:cs="宋体"/>
                <w:color w:val="000000"/>
                <w:sz w:val="21"/>
                <w:szCs w:val="21"/>
              </w:rPr>
              <w:t>举办高危险性体育赛事活动许可</w:t>
            </w:r>
            <w:r>
              <w:rPr>
                <w:rFonts w:hint="eastAsia" w:ascii="宋体" w:hAnsi="宋体" w:eastAsia="宋体" w:cs="宋体"/>
                <w:color w:val="000000"/>
                <w:sz w:val="21"/>
                <w:szCs w:val="21"/>
              </w:rPr>
              <w:fldChar w:fldCharType="end"/>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事项名称】【事项编码】【事项类别】【设定依据】【审批对象】【实施机关】【办理处室】【受理方式】【受理地点】【审批流程】【申报材料】【审查内容】【审查标准】【批准形式】【收费依据】【收费标准】【办理时限】【有效时限】</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leftChars="0" w:right="0" w:rightChars="0"/>
              <w:jc w:val="center"/>
              <w:rPr>
                <w:rFonts w:hint="eastAsia" w:ascii="Calibri" w:hAnsi="Calibri" w:cs="Calibri" w:eastAsiaTheme="minorEastAsia"/>
                <w:kern w:val="0"/>
                <w:sz w:val="21"/>
                <w:szCs w:val="21"/>
                <w:lang w:val="en-US" w:eastAsia="zh-CN" w:bidi="ar"/>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leftChars="0" w:right="0" w:rightChars="0"/>
              <w:jc w:val="center"/>
              <w:rPr>
                <w:rFonts w:hint="eastAsia" w:ascii="Calibri" w:hAnsi="Calibri" w:cs="Calibri" w:eastAsiaTheme="minorEastAsia"/>
                <w:kern w:val="0"/>
                <w:sz w:val="21"/>
                <w:szCs w:val="21"/>
                <w:lang w:val="en-US" w:eastAsia="zh-CN" w:bidi="ar"/>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临时占用公共体育设施开展非体育性活动的行政许可</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事项名称】【事项编码】【事项类别】【设定依据】【审批对象】【实施机关】【办理处室】【受理方式】【受理地点】【审批流程】【申报材料】【审查内容】【审查标准】【批准形式】【收费依据】【收费标准】【办理时限】【有效时限】</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fldChar w:fldCharType="begin"/>
            </w:r>
            <w:r>
              <w:rPr>
                <w:rFonts w:hint="eastAsia" w:ascii="宋体" w:hAnsi="宋体" w:eastAsia="宋体" w:cs="宋体"/>
                <w:color w:val="000000"/>
                <w:sz w:val="21"/>
                <w:szCs w:val="21"/>
              </w:rPr>
              <w:instrText xml:space="preserve"> HYPERLINK "javascript:viewItemPage('finish','d064be2e-38f7-4169-bbf8-e473bf3ba0cc','','1');" </w:instrText>
            </w:r>
            <w:r>
              <w:rPr>
                <w:rFonts w:hint="eastAsia" w:ascii="宋体" w:hAnsi="宋体" w:eastAsia="宋体" w:cs="宋体"/>
                <w:color w:val="000000"/>
                <w:sz w:val="21"/>
                <w:szCs w:val="21"/>
              </w:rPr>
              <w:fldChar w:fldCharType="separate"/>
            </w:r>
            <w:r>
              <w:rPr>
                <w:rFonts w:hint="eastAsia" w:ascii="宋体" w:hAnsi="宋体" w:eastAsia="宋体" w:cs="宋体"/>
                <w:color w:val="000000"/>
                <w:sz w:val="21"/>
                <w:szCs w:val="21"/>
              </w:rPr>
              <w:t>举办健身气功活动及设立站点审批</w:t>
            </w:r>
            <w:r>
              <w:rPr>
                <w:rFonts w:hint="eastAsia" w:ascii="宋体" w:hAnsi="宋体" w:eastAsia="宋体" w:cs="宋体"/>
                <w:color w:val="000000"/>
                <w:sz w:val="21"/>
                <w:szCs w:val="21"/>
              </w:rPr>
              <w:fldChar w:fldCharType="end"/>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事项名称】【事项编码】【事项类别】【设定依据】【审批对象】【实施机关】【办理处室】【受理方式】【受理地点】【审批流程】【申报材料】【审查内容】【审查标准】【批准形式】【收费依据】【收费标准】【办理时限】【有效时限】</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leftChars="0" w:right="0" w:rightChars="0"/>
              <w:jc w:val="center"/>
              <w:rPr>
                <w:rFonts w:hint="eastAsia" w:ascii="Calibri" w:hAnsi="Calibri" w:cs="Calibri" w:eastAsiaTheme="minorEastAsia"/>
                <w:kern w:val="0"/>
                <w:sz w:val="21"/>
                <w:szCs w:val="21"/>
                <w:lang w:val="en-US" w:eastAsia="zh-CN" w:bidi="ar"/>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leftChars="0" w:right="0" w:rightChars="0"/>
              <w:jc w:val="center"/>
              <w:rPr>
                <w:rFonts w:hint="eastAsia" w:ascii="Calibri" w:hAnsi="Calibri" w:cs="Calibri" w:eastAsiaTheme="minorEastAsia"/>
                <w:kern w:val="0"/>
                <w:sz w:val="21"/>
                <w:szCs w:val="21"/>
                <w:lang w:val="en-US" w:eastAsia="zh-CN" w:bidi="ar"/>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健身气功活动设立站点的行政许可</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事项名称】【事项编码】【事项类别】【设定依据】【审批对象】【实施机关】【办理处室】【受理方式】【受理地点】【审批流程】【申报材料】【审查内容】【审查标准】【批准形式】【收费依据】【收费标准】【办理时限】【有效时限】</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行政确认</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北京市裁判员技术等级称号确认</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社会体育指导员技术等级称号确认</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运动员技术等级称号确认</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行政检查</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经营高危险性体育项目行政许可工作的检查</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cs="Calibri" w:eastAsiaTheme="minorEastAsia"/>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体育竞赛举办情况的检查</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体育训练场、体育竞赛场所和运动员驻地兴奋剂检查</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行政处罚</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体育竞赛主办者未遵守国家和本市的强制性体育服务标准的行为处罚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1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体育竞赛主办者委派未经体育行政部门依法注册的人员担任裁判工作的处罚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9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公共文化体育设施管理单位开展与公共文化体育设施功能、用途不相适应的服务活动的行为处罚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4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公共文化体育设施管理单位违反规定出租文化体育设施的行为处罚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9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体育运动项目经营单位未建立安全生产例会制度或者未制定安全生产措施的行为处罚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体育运动项目经营单位未建立生产安全事故隐患排查制度的行为处罚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体育运动项目经营单位未配备持有相应运动项目执业证书的从业人员的行为处罚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体育运动项目经营单位未配备专职水上救生员的行为处罚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4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体育运动项目经营单位未设置能够覆盖全部营业区域的应急广播或者不能使用中英文两种语言播放的行为处罚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未经批准、擅自经营高危险性体育项目的行为处罚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7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高危险性体育项目经营者取得许可证后，不再符合本条例规定条件仍经营该体育项目的行为处罚</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【职权编码】【职权名称】【依据】【实施主体】【流程图】【监督方式】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eastAsia" w:ascii="Calibri" w:hAnsi="Calibri" w:cs="Calibri" w:eastAsiaTheme="minorEastAsia"/>
                <w:sz w:val="21"/>
                <w:szCs w:val="21"/>
                <w:lang w:eastAsia="zh-CN"/>
              </w:rPr>
            </w:pPr>
            <w:r>
              <w:rPr>
                <w:rFonts w:hint="eastAsia" w:ascii="宋体" w:hAnsi="宋体" w:eastAsia="宋体" w:cs="宋体"/>
                <w:color w:val="000000"/>
                <w:sz w:val="21"/>
                <w:szCs w:val="21"/>
                <w:lang w:eastAsia="zh-CN"/>
              </w:rPr>
              <w:t>信息产生或变更后20个工作日</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法制宣传</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组织及宣传工作</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新闻稿、报告</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【会议名称】【时间】【地点】【会议主题】【会议内容】</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政府网站常规公开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发展规划、政策和计划（规划），并组织实施</w:t>
            </w: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拟定发展规划、政策和计划（规划）</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青少年体育发展规划、政策和计划（草案）</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【指导思想】【总体目标】【主要任务】【保障措施】【组织实施】</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青少年体育发展规划、政策和计划</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【指导思想】【总体目标】【主要任务】【保障措施】【组织实施】</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青少年体育发展规划、政策和计划解读</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【重点内容】【主要特色】</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3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青少年体育相关工作审核、审批与上报工作</w:t>
            </w: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运动员技术等级审核审批</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二级运动员材料的审核、审批</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【总则】【管理权限】【申请和审核】【审批】【证书】【监督检查和处罚】【附则】【申请表】【审批单位】【编码】</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7个工作日内公开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eastAsia" w:ascii="Calibri" w:hAnsi="Calibri" w:eastAsia="宋体" w:cs="Calibri"/>
                <w:sz w:val="21"/>
                <w:szCs w:val="21"/>
                <w:lang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三级运动员材料的审核、审批</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【总则】【管理权限】【申请和审核】【审批】【证书】【监督检查和处罚】【附则】【申请表】【审批单位】【编码】</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7个工作日内公开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97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负责本系统财务预决算编审；</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本部门预算公开</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部门预算信息</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收支总体情况表：①部门收支总体情况表。②部门收入总体情况表。③部门支出总体情况表。</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一般公共预算支出情况表公开到功能分类项级科目。一般公共预算基本支出表公开到经济分类款级科目。</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一般公共预算“三公”经费支出表按“因公出国（境）费”“公务用车购置及运行费”“公务接待费”公开，其中，“公务用车购置及运行费”应当细化到“公务用车购置费”“公务用车运行费”两个项目，并对增减变化情况进行说明。</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没有数据的表格应当列出空表并说明。</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按年度公开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3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本部门决算公开</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部门决算信息</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收支总体情况表：①部门收支总体情况表。②部门收入总体情况表。③部门支出总体情况表。</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一般公共预算支出情况表公开到功能分类项级科目。一般公共预算基本支出表公开到经济分类款级科目。</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没有数据的表格应当列出空表并说明。</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rPr>
              <w:t> </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按年度公开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30"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负责监督管理本系统国有资产</w:t>
            </w:r>
          </w:p>
        </w:tc>
        <w:tc>
          <w:tcPr>
            <w:tcW w:w="1217"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政府采购</w:t>
            </w: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政府采购招标公告</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【集中采购机构采购项目】【部门净增采购项目】【分散采购及限额标准】【政府采购公开招标数额标准】</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65" w:hRule="atLeast"/>
          <w:jc w:val="center"/>
        </w:trPr>
        <w:tc>
          <w:tcPr>
            <w:tcW w:w="16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2"/>
              <w:keepNext w:val="0"/>
              <w:keepLines w:val="0"/>
              <w:widowControl/>
              <w:numPr>
                <w:ilvl w:val="0"/>
                <w:numId w:val="1"/>
              </w:numPr>
              <w:suppressLineNumbers w:val="0"/>
              <w:spacing w:before="0" w:beforeAutospacing="0" w:after="0" w:afterAutospacing="0"/>
              <w:ind w:left="425" w:leftChars="0" w:right="0" w:rightChars="0" w:hanging="425" w:firstLineChars="0"/>
              <w:jc w:val="center"/>
              <w:textAlignment w:val="center"/>
              <w:rPr>
                <w:rFonts w:hint="default" w:ascii="Calibri" w:hAnsi="Calibri" w:cs="Calibri" w:eastAsiaTheme="minorEastAsia"/>
                <w:sz w:val="21"/>
                <w:szCs w:val="21"/>
                <w:lang w:val="en-US" w:eastAsia="zh-CN"/>
              </w:rPr>
            </w:pPr>
          </w:p>
        </w:tc>
        <w:tc>
          <w:tcPr>
            <w:tcW w:w="252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hAnsi="宋体" w:eastAsia="宋体" w:cs="宋体"/>
                <w:sz w:val="18"/>
                <w:szCs w:val="18"/>
              </w:rPr>
            </w:pPr>
          </w:p>
        </w:tc>
        <w:tc>
          <w:tcPr>
            <w:tcW w:w="121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政府采购中标公告</w:t>
            </w:r>
          </w:p>
        </w:tc>
        <w:tc>
          <w:tcPr>
            <w:tcW w:w="305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【公告信息】【联系人及联系方式】</w:t>
            </w:r>
          </w:p>
        </w:tc>
        <w:tc>
          <w:tcPr>
            <w:tcW w:w="19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实时公开</w:t>
            </w:r>
          </w:p>
        </w:tc>
        <w:tc>
          <w:tcPr>
            <w:tcW w:w="22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color w:val="000000"/>
                <w:sz w:val="21"/>
                <w:szCs w:val="21"/>
              </w:rPr>
              <w:t>政府网站专题集中公开</w:t>
            </w:r>
          </w:p>
        </w:tc>
      </w:tr>
      <w:bookmarkEnd w:id="0"/>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189859"/>
    <w:multiLevelType w:val="singleLevel"/>
    <w:tmpl w:val="C0189859"/>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CF6A8B"/>
    <w:rsid w:val="05CF6A8B"/>
    <w:rsid w:val="183E2908"/>
    <w:rsid w:val="1E3D5634"/>
    <w:rsid w:val="4DB70824"/>
    <w:rsid w:val="5C5A4CE0"/>
    <w:rsid w:val="6ADC0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2022-07-15T06:30:00Z</dcterms:created>
  <dc:creator>赵艳涛</dc:creator>
  <cp:lastModifiedBy>赵艳涛</cp:lastModifiedBy>
  <dcterms:modified xsi:type="dcterms:W3CDTF">2025-06-24T08:09:40Z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F0C8E12FFC1842859E757BC1E4EBAC93</vt:lpwstr>
  </property>
</Properties>
</file>